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eastAsia="宋体"/>
          <w:b/>
          <w:bCs/>
          <w:sz w:val="52"/>
        </w:rPr>
      </w:pPr>
    </w:p>
    <w:p>
      <w:pPr>
        <w:jc w:val="center"/>
        <w:rPr>
          <w:rFonts w:eastAsia="宋体"/>
          <w:b/>
          <w:bCs/>
          <w:sz w:val="52"/>
        </w:rPr>
      </w:pPr>
    </w:p>
    <w:p>
      <w:pPr>
        <w:jc w:val="center"/>
        <w:rPr>
          <w:rFonts w:ascii="黑体" w:hAnsi="黑体" w:eastAsia="黑体"/>
          <w:b/>
          <w:bCs/>
          <w:sz w:val="52"/>
        </w:rPr>
      </w:pPr>
      <w:r>
        <w:rPr>
          <w:rFonts w:ascii="黑体" w:hAnsi="黑体" w:eastAsia="黑体"/>
          <w:b/>
          <w:bCs/>
          <w:sz w:val="52"/>
        </w:rPr>
        <w:t>建设项目环境影响报告表</w:t>
      </w:r>
    </w:p>
    <w:p>
      <w:pPr>
        <w:jc w:val="center"/>
        <w:rPr>
          <w:rFonts w:eastAsia="宋体"/>
        </w:rPr>
      </w:pPr>
    </w:p>
    <w:p>
      <w:pPr>
        <w:jc w:val="center"/>
        <w:rPr>
          <w:rFonts w:eastAsia="宋体"/>
        </w:rPr>
      </w:pPr>
    </w:p>
    <w:p>
      <w:pPr>
        <w:jc w:val="center"/>
        <w:rPr>
          <w:rFonts w:eastAsia="宋体"/>
        </w:rPr>
      </w:pPr>
    </w:p>
    <w:p>
      <w:pPr>
        <w:jc w:val="center"/>
        <w:rPr>
          <w:rFonts w:eastAsia="宋体"/>
        </w:rPr>
      </w:pPr>
    </w:p>
    <w:p>
      <w:pPr>
        <w:rPr>
          <w:rFonts w:eastAsia="宋体"/>
          <w:sz w:val="32"/>
        </w:rPr>
      </w:pPr>
    </w:p>
    <w:p>
      <w:pPr>
        <w:rPr>
          <w:rFonts w:eastAsia="宋体"/>
          <w:sz w:val="32"/>
        </w:rPr>
      </w:pPr>
    </w:p>
    <w:p>
      <w:pPr>
        <w:snapToGrid w:val="0"/>
        <w:rPr>
          <w:rFonts w:ascii="黑体" w:hAnsi="黑体" w:eastAsia="黑体"/>
          <w:sz w:val="32"/>
          <w:szCs w:val="32"/>
        </w:rPr>
      </w:pPr>
      <w:r>
        <w:rPr>
          <w:rFonts w:ascii="黑体" w:hAnsi="黑体" w:eastAsia="黑体"/>
          <w:b/>
          <w:bCs/>
          <w:sz w:val="30"/>
          <w:szCs w:val="30"/>
        </w:rPr>
        <w:t>项 目 名 称 ：</w:t>
      </w:r>
      <w:r>
        <w:rPr>
          <w:rFonts w:eastAsia="宋体"/>
          <w:b/>
          <w:bCs/>
          <w:sz w:val="32"/>
          <w:szCs w:val="32"/>
          <w:u w:val="single"/>
        </w:rPr>
        <w:t xml:space="preserve"> </w:t>
      </w:r>
      <w:r>
        <w:rPr>
          <w:rFonts w:hint="eastAsia" w:eastAsia="宋体"/>
          <w:b/>
          <w:bCs/>
          <w:sz w:val="32"/>
          <w:szCs w:val="32"/>
          <w:u w:val="single"/>
        </w:rPr>
        <w:t xml:space="preserve">    沭阳青岛路加油站项目</w:t>
      </w:r>
      <w:r>
        <w:rPr>
          <w:rFonts w:hint="eastAsia" w:ascii="宋体" w:hAnsi="宋体" w:eastAsia="宋体" w:cs="宋体"/>
          <w:b/>
          <w:bCs/>
          <w:sz w:val="32"/>
          <w:szCs w:val="32"/>
          <w:u w:val="single"/>
        </w:rPr>
        <w:t xml:space="preserve">        </w:t>
      </w:r>
    </w:p>
    <w:p>
      <w:pPr>
        <w:rPr>
          <w:rFonts w:ascii="黑体" w:hAnsi="黑体" w:eastAsia="黑体"/>
          <w:b/>
          <w:bCs/>
          <w:sz w:val="30"/>
          <w:szCs w:val="30"/>
        </w:rPr>
      </w:pPr>
    </w:p>
    <w:p>
      <w:pPr>
        <w:rPr>
          <w:rFonts w:ascii="黑体" w:hAnsi="黑体" w:eastAsia="黑体"/>
          <w:b/>
          <w:bCs/>
          <w:szCs w:val="28"/>
          <w:u w:val="thick"/>
        </w:rPr>
      </w:pPr>
      <w:r>
        <w:rPr>
          <w:rFonts w:ascii="黑体" w:hAnsi="黑体" w:eastAsia="黑体"/>
          <w:b/>
          <w:bCs/>
          <w:sz w:val="30"/>
          <w:szCs w:val="30"/>
        </w:rPr>
        <w:t>建设单位（盖章）：</w:t>
      </w:r>
      <w:r>
        <w:rPr>
          <w:rFonts w:hint="eastAsia" w:ascii="黑体" w:hAnsi="黑体" w:eastAsia="黑体"/>
          <w:b/>
          <w:bCs/>
          <w:sz w:val="24"/>
          <w:szCs w:val="24"/>
          <w:u w:val="single"/>
        </w:rPr>
        <w:t>中国石油天然气股份有限公司江苏宿迁销售分公司</w:t>
      </w:r>
    </w:p>
    <w:p>
      <w:pPr>
        <w:rPr>
          <w:rFonts w:ascii="黑体" w:hAnsi="黑体" w:eastAsia="黑体"/>
          <w:b/>
          <w:bCs/>
          <w:szCs w:val="28"/>
          <w:u w:val="thick"/>
        </w:rPr>
      </w:pPr>
    </w:p>
    <w:p>
      <w:pPr>
        <w:jc w:val="center"/>
        <w:rPr>
          <w:rFonts w:eastAsia="宋体"/>
        </w:rPr>
      </w:pPr>
    </w:p>
    <w:p>
      <w:pPr>
        <w:jc w:val="center"/>
        <w:rPr>
          <w:rFonts w:eastAsia="宋体"/>
        </w:rPr>
      </w:pPr>
    </w:p>
    <w:p>
      <w:pPr>
        <w:jc w:val="center"/>
        <w:rPr>
          <w:rFonts w:eastAsia="宋体"/>
        </w:rPr>
      </w:pPr>
    </w:p>
    <w:p>
      <w:pPr>
        <w:jc w:val="center"/>
        <w:rPr>
          <w:rFonts w:eastAsia="宋体"/>
        </w:rPr>
      </w:pPr>
    </w:p>
    <w:p>
      <w:pPr>
        <w:pStyle w:val="2"/>
        <w:ind w:firstLine="280"/>
      </w:pPr>
    </w:p>
    <w:p>
      <w:pPr>
        <w:pStyle w:val="2"/>
        <w:ind w:firstLine="280"/>
      </w:pPr>
    </w:p>
    <w:p>
      <w:pPr>
        <w:rPr>
          <w:rFonts w:eastAsia="宋体"/>
        </w:rPr>
      </w:pPr>
    </w:p>
    <w:p>
      <w:pPr>
        <w:ind w:firstLine="2700" w:firstLineChars="900"/>
        <w:rPr>
          <w:rFonts w:ascii="黑体" w:hAnsi="黑体" w:eastAsia="黑体"/>
          <w:sz w:val="30"/>
        </w:rPr>
        <w:sectPr>
          <w:headerReference r:id="rId3" w:type="default"/>
          <w:footerReference r:id="rId4" w:type="even"/>
          <w:pgSz w:w="11906" w:h="16838"/>
          <w:pgMar w:top="1440" w:right="1701" w:bottom="1440" w:left="1701" w:header="851" w:footer="992" w:gutter="0"/>
          <w:pgNumType w:start="2"/>
          <w:cols w:space="720" w:num="1"/>
          <w:docGrid w:type="lines" w:linePitch="312" w:charSpace="0"/>
        </w:sectPr>
      </w:pPr>
      <w:r>
        <w:rPr>
          <w:rFonts w:ascii="黑体" w:hAnsi="黑体" w:eastAsia="黑体"/>
          <w:sz w:val="30"/>
        </w:rPr>
        <w:t>编制日期：20</w:t>
      </w:r>
      <w:r>
        <w:rPr>
          <w:rFonts w:hint="eastAsia" w:ascii="黑体" w:hAnsi="黑体" w:eastAsia="黑体"/>
          <w:sz w:val="30"/>
        </w:rPr>
        <w:t>20</w:t>
      </w:r>
      <w:r>
        <w:rPr>
          <w:rFonts w:ascii="黑体" w:hAnsi="黑体" w:eastAsia="黑体"/>
          <w:sz w:val="30"/>
        </w:rPr>
        <w:t>年</w:t>
      </w:r>
      <w:r>
        <w:rPr>
          <w:rFonts w:hint="eastAsia" w:ascii="黑体" w:hAnsi="黑体" w:eastAsia="黑体"/>
          <w:sz w:val="30"/>
        </w:rPr>
        <w:t>4</w:t>
      </w:r>
      <w:r>
        <w:rPr>
          <w:rFonts w:ascii="黑体" w:hAnsi="黑体" w:eastAsia="黑体"/>
          <w:sz w:val="30"/>
        </w:rPr>
        <w:t>月</w:t>
      </w:r>
    </w:p>
    <w:p>
      <w:pPr>
        <w:spacing w:line="480" w:lineRule="exact"/>
        <w:jc w:val="center"/>
        <w:rPr>
          <w:rFonts w:eastAsia="宋体"/>
          <w:b/>
          <w:bCs/>
          <w:sz w:val="44"/>
        </w:rPr>
      </w:pPr>
      <w:r>
        <w:rPr>
          <w:rFonts w:eastAsia="宋体"/>
          <w:b/>
          <w:bCs/>
          <w:sz w:val="44"/>
        </w:rPr>
        <w:t>《建设项目环境影响报告表》编制说明</w:t>
      </w:r>
    </w:p>
    <w:p>
      <w:pPr>
        <w:spacing w:line="480" w:lineRule="auto"/>
        <w:jc w:val="center"/>
        <w:rPr>
          <w:rFonts w:eastAsia="宋体"/>
          <w:sz w:val="30"/>
        </w:rPr>
      </w:pPr>
    </w:p>
    <w:p>
      <w:pPr>
        <w:pStyle w:val="3"/>
        <w:spacing w:line="480" w:lineRule="auto"/>
        <w:ind w:firstLine="560" w:firstLineChars="200"/>
        <w:rPr>
          <w:rFonts w:eastAsia="宋体"/>
          <w:sz w:val="28"/>
        </w:rPr>
      </w:pPr>
      <w:r>
        <w:rPr>
          <w:rFonts w:eastAsia="宋体"/>
          <w:sz w:val="28"/>
        </w:rPr>
        <w:t>《建设项目环境影响报告表》由具有从事环境影响评价工作资质的单位编制。</w:t>
      </w:r>
    </w:p>
    <w:p>
      <w:pPr>
        <w:pStyle w:val="3"/>
        <w:spacing w:line="480" w:lineRule="auto"/>
        <w:ind w:firstLine="560" w:firstLineChars="200"/>
        <w:rPr>
          <w:rFonts w:eastAsia="宋体"/>
          <w:sz w:val="28"/>
        </w:rPr>
      </w:pPr>
      <w:r>
        <w:rPr>
          <w:rFonts w:eastAsia="宋体"/>
          <w:sz w:val="28"/>
        </w:rPr>
        <w:t>1.项目名称—指项目立项批复时的名称，应不超过30个字（两个英文字段作一个汉字）。</w:t>
      </w:r>
    </w:p>
    <w:p>
      <w:pPr>
        <w:pStyle w:val="3"/>
        <w:spacing w:line="480" w:lineRule="auto"/>
        <w:ind w:firstLine="560" w:firstLineChars="200"/>
        <w:rPr>
          <w:rFonts w:eastAsia="宋体"/>
          <w:sz w:val="28"/>
        </w:rPr>
      </w:pPr>
      <w:r>
        <w:rPr>
          <w:rFonts w:eastAsia="宋体"/>
          <w:sz w:val="28"/>
        </w:rPr>
        <w:t>2.建设地点—指项目所在地详细地址，公路、铁路应填写起止地点。</w:t>
      </w:r>
    </w:p>
    <w:p>
      <w:pPr>
        <w:pStyle w:val="3"/>
        <w:spacing w:line="480" w:lineRule="auto"/>
        <w:ind w:firstLine="560" w:firstLineChars="200"/>
        <w:rPr>
          <w:rFonts w:eastAsia="宋体"/>
          <w:sz w:val="28"/>
        </w:rPr>
      </w:pPr>
      <w:r>
        <w:rPr>
          <w:rFonts w:eastAsia="宋体"/>
          <w:sz w:val="28"/>
        </w:rPr>
        <w:t>3.行业类别—按国标填写。</w:t>
      </w:r>
    </w:p>
    <w:p>
      <w:pPr>
        <w:pStyle w:val="3"/>
        <w:spacing w:line="480" w:lineRule="auto"/>
        <w:ind w:firstLine="560" w:firstLineChars="200"/>
        <w:rPr>
          <w:rFonts w:eastAsia="宋体"/>
          <w:sz w:val="28"/>
        </w:rPr>
      </w:pPr>
      <w:r>
        <w:rPr>
          <w:rFonts w:eastAsia="宋体"/>
          <w:sz w:val="28"/>
        </w:rPr>
        <w:t>4.总投资—指项目投资总额。</w:t>
      </w:r>
    </w:p>
    <w:p>
      <w:pPr>
        <w:pStyle w:val="3"/>
        <w:spacing w:line="480" w:lineRule="auto"/>
        <w:ind w:firstLine="560" w:firstLineChars="200"/>
        <w:rPr>
          <w:rFonts w:eastAsia="宋体"/>
          <w:sz w:val="28"/>
        </w:rPr>
      </w:pPr>
      <w:r>
        <w:rPr>
          <w:rFonts w:eastAsia="宋体"/>
          <w:sz w:val="28"/>
        </w:rPr>
        <w:t>5.主要环境保护目标—指项目区周围一定范围内集中居民住宅区、学校、医院、保护文物、风景名胜区、水源地和生态敏感点等，应尽可能给出保护目标、性质、规模和距厂界距离等。</w:t>
      </w:r>
    </w:p>
    <w:p>
      <w:pPr>
        <w:pStyle w:val="3"/>
        <w:spacing w:line="480" w:lineRule="auto"/>
        <w:ind w:firstLine="560" w:firstLineChars="200"/>
        <w:rPr>
          <w:rFonts w:eastAsia="宋体"/>
          <w:sz w:val="28"/>
        </w:rPr>
      </w:pPr>
      <w:r>
        <w:rPr>
          <w:rFonts w:eastAsia="宋体"/>
          <w:sz w:val="28"/>
        </w:rPr>
        <w:t>6.结论与建议—给出本项目清洁生产、达标排放和总量控制和分析结论，确定污染防治措施的有效性，说明本项目对环境造成的影响，给出建设项目环境可行性的明确结论。同时提出减少环境影响的其他建议。</w:t>
      </w:r>
    </w:p>
    <w:p>
      <w:pPr>
        <w:pStyle w:val="3"/>
        <w:spacing w:line="480" w:lineRule="auto"/>
        <w:ind w:firstLine="560" w:firstLineChars="200"/>
        <w:rPr>
          <w:rFonts w:eastAsia="宋体"/>
          <w:sz w:val="28"/>
        </w:rPr>
      </w:pPr>
      <w:r>
        <w:rPr>
          <w:rFonts w:eastAsia="宋体"/>
          <w:sz w:val="28"/>
        </w:rPr>
        <w:t>7.预审意见—由行业主管部门填写答复意见，无主管部门项目，可不填。</w:t>
      </w:r>
    </w:p>
    <w:p>
      <w:pPr>
        <w:pStyle w:val="3"/>
        <w:spacing w:line="480" w:lineRule="auto"/>
        <w:ind w:firstLine="560" w:firstLineChars="200"/>
        <w:rPr>
          <w:rFonts w:eastAsia="宋体"/>
          <w:sz w:val="28"/>
        </w:rPr>
      </w:pPr>
      <w:r>
        <w:rPr>
          <w:rFonts w:eastAsia="宋体"/>
          <w:sz w:val="28"/>
        </w:rPr>
        <w:t>8.审批意见—由负责审批该项目的环境保护行政主管部门批复。</w:t>
      </w:r>
    </w:p>
    <w:p>
      <w:pPr>
        <w:spacing w:line="480" w:lineRule="auto"/>
        <w:rPr>
          <w:rFonts w:eastAsia="宋体"/>
        </w:rPr>
      </w:pPr>
    </w:p>
    <w:p/>
    <w:p>
      <w:pPr>
        <w:outlineLvl w:val="0"/>
        <w:rPr>
          <w:rFonts w:eastAsia="宋体"/>
          <w:b/>
        </w:rPr>
        <w:sectPr>
          <w:footerReference r:id="rId5" w:type="default"/>
          <w:pgSz w:w="11907" w:h="16840"/>
          <w:pgMar w:top="1418" w:right="1418" w:bottom="1418" w:left="1418" w:header="851" w:footer="992" w:gutter="0"/>
          <w:pgNumType w:start="1"/>
          <w:cols w:space="720" w:num="1"/>
          <w:docGrid w:linePitch="387" w:charSpace="-5735"/>
        </w:sectPr>
      </w:pPr>
    </w:p>
    <w:p>
      <w:pPr>
        <w:outlineLvl w:val="0"/>
        <w:rPr>
          <w:rFonts w:eastAsia="宋体"/>
          <w:b/>
        </w:rPr>
      </w:pPr>
      <w:r>
        <w:rPr>
          <w:rFonts w:eastAsia="宋体"/>
          <w:b/>
        </w:rPr>
        <w:t>一、建设项目基本情况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14"/>
        <w:gridCol w:w="1286"/>
        <w:gridCol w:w="249"/>
        <w:gridCol w:w="302"/>
        <w:gridCol w:w="831"/>
        <w:gridCol w:w="110"/>
        <w:gridCol w:w="530"/>
        <w:gridCol w:w="438"/>
        <w:gridCol w:w="237"/>
        <w:gridCol w:w="98"/>
        <w:gridCol w:w="182"/>
        <w:gridCol w:w="759"/>
        <w:gridCol w:w="176"/>
        <w:gridCol w:w="336"/>
        <w:gridCol w:w="38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项目名称</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沭阳县青岛路加油站</w:t>
            </w:r>
            <w:r>
              <w:rPr>
                <w:rFonts w:eastAsia="宋体"/>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建设单位</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中国石油天然气股份有限公司江苏宿迁销售分公司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负责人</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高书利</w:t>
            </w:r>
          </w:p>
        </w:tc>
        <w:tc>
          <w:tcPr>
            <w:tcW w:w="1413"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联系人</w:t>
            </w:r>
          </w:p>
        </w:tc>
        <w:tc>
          <w:tcPr>
            <w:tcW w:w="2938"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高书利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通讯地址</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宿迁市发展大道64号（宿迁新闻中心十楼）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联系电话</w:t>
            </w:r>
          </w:p>
        </w:tc>
        <w:tc>
          <w:tcPr>
            <w:tcW w:w="2551"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18036991255</w:t>
            </w:r>
          </w:p>
        </w:tc>
        <w:tc>
          <w:tcPr>
            <w:tcW w:w="831"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传真</w:t>
            </w:r>
          </w:p>
        </w:tc>
        <w:tc>
          <w:tcPr>
            <w:tcW w:w="1595" w:type="dxa"/>
            <w:gridSpan w:val="6"/>
            <w:vAlign w:val="center"/>
          </w:tcPr>
          <w:p>
            <w:pPr>
              <w:widowControl w:val="0"/>
              <w:tabs>
                <w:tab w:val="center" w:pos="4153"/>
                <w:tab w:val="right" w:pos="8306"/>
              </w:tabs>
              <w:snapToGrid w:val="0"/>
              <w:spacing w:line="240" w:lineRule="auto"/>
              <w:jc w:val="center"/>
              <w:rPr>
                <w:rFonts w:eastAsia="宋体"/>
                <w:sz w:val="24"/>
                <w:szCs w:val="24"/>
              </w:rPr>
            </w:pPr>
          </w:p>
        </w:tc>
        <w:tc>
          <w:tcPr>
            <w:tcW w:w="127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邮政编码</w:t>
            </w:r>
          </w:p>
        </w:tc>
        <w:tc>
          <w:tcPr>
            <w:tcW w:w="148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223</w:t>
            </w:r>
            <w:r>
              <w:rPr>
                <w:rFonts w:hint="eastAsia" w:eastAsia="宋体"/>
                <w:sz w:val="24"/>
                <w:szCs w:val="24"/>
              </w:rPr>
              <w:t>6</w:t>
            </w:r>
            <w:r>
              <w:rPr>
                <w:rFonts w:eastAsia="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建设地点</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沭阳县青岛路北侧民政局老年公寓东侧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立项审批部门</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江苏省经济贸易委员会</w:t>
            </w:r>
          </w:p>
        </w:tc>
        <w:tc>
          <w:tcPr>
            <w:tcW w:w="1315" w:type="dxa"/>
            <w:gridSpan w:val="4"/>
            <w:vAlign w:val="center"/>
          </w:tcPr>
          <w:p>
            <w:pPr>
              <w:widowControl w:val="0"/>
              <w:tabs>
                <w:tab w:val="center" w:pos="4153"/>
                <w:tab w:val="right" w:pos="8306"/>
              </w:tabs>
              <w:snapToGrid w:val="0"/>
              <w:spacing w:line="240" w:lineRule="auto"/>
              <w:ind w:left="132"/>
              <w:jc w:val="center"/>
              <w:rPr>
                <w:rFonts w:eastAsia="宋体"/>
                <w:sz w:val="24"/>
                <w:szCs w:val="24"/>
              </w:rPr>
            </w:pPr>
            <w:r>
              <w:rPr>
                <w:rFonts w:eastAsia="宋体"/>
                <w:sz w:val="24"/>
                <w:szCs w:val="24"/>
              </w:rPr>
              <w:t>批准文号</w:t>
            </w:r>
          </w:p>
        </w:tc>
        <w:tc>
          <w:tcPr>
            <w:tcW w:w="3036"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苏经信经【2009】305号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建设性质</w:t>
            </w:r>
          </w:p>
        </w:tc>
        <w:tc>
          <w:tcPr>
            <w:tcW w:w="2249"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新建</w:t>
            </w:r>
          </w:p>
        </w:tc>
        <w:tc>
          <w:tcPr>
            <w:tcW w:w="2211"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行业类别及代码</w:t>
            </w:r>
          </w:p>
        </w:tc>
        <w:tc>
          <w:tcPr>
            <w:tcW w:w="3273" w:type="dxa"/>
            <w:gridSpan w:val="8"/>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F5265机动车燃料零售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占地面积（平方米）</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2850</w:t>
            </w:r>
          </w:p>
        </w:tc>
        <w:tc>
          <w:tcPr>
            <w:tcW w:w="2530" w:type="dxa"/>
            <w:gridSpan w:val="8"/>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绿化面积</w:t>
            </w:r>
          </w:p>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（平方米）</w:t>
            </w:r>
          </w:p>
        </w:tc>
        <w:tc>
          <w:tcPr>
            <w:tcW w:w="182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总投资（万元）</w:t>
            </w:r>
          </w:p>
        </w:tc>
        <w:tc>
          <w:tcPr>
            <w:tcW w:w="2000" w:type="dxa"/>
            <w:gridSpan w:val="2"/>
            <w:vAlign w:val="center"/>
          </w:tcPr>
          <w:p>
            <w:pPr>
              <w:widowControl w:val="0"/>
              <w:tabs>
                <w:tab w:val="center" w:pos="4153"/>
                <w:tab w:val="right" w:pos="8306"/>
              </w:tabs>
              <w:snapToGrid w:val="0"/>
              <w:spacing w:line="240" w:lineRule="auto"/>
              <w:ind w:firstLine="12"/>
              <w:jc w:val="center"/>
              <w:rPr>
                <w:rFonts w:eastAsia="宋体"/>
                <w:sz w:val="24"/>
                <w:szCs w:val="24"/>
              </w:rPr>
            </w:pPr>
            <w:r>
              <w:rPr>
                <w:rFonts w:hint="eastAsia" w:eastAsia="宋体"/>
                <w:sz w:val="24"/>
                <w:szCs w:val="24"/>
              </w:rPr>
              <w:t>500</w:t>
            </w:r>
          </w:p>
        </w:tc>
        <w:tc>
          <w:tcPr>
            <w:tcW w:w="202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环保投资（万元）</w:t>
            </w:r>
          </w:p>
        </w:tc>
        <w:tc>
          <w:tcPr>
            <w:tcW w:w="955" w:type="dxa"/>
            <w:gridSpan w:val="4"/>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40</w:t>
            </w:r>
          </w:p>
        </w:tc>
        <w:tc>
          <w:tcPr>
            <w:tcW w:w="1656"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环保投资占总投资比例</w:t>
            </w:r>
          </w:p>
        </w:tc>
        <w:tc>
          <w:tcPr>
            <w:tcW w:w="1100" w:type="dxa"/>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8.0</w:t>
            </w:r>
            <w:r>
              <w:rPr>
                <w:rFonts w:ascii="Times New Roman" w:hAnsi="Times New Roman" w:eastAsia="宋体"/>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评价经费（万元）</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1595"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拟投产日期</w:t>
            </w:r>
          </w:p>
        </w:tc>
        <w:tc>
          <w:tcPr>
            <w:tcW w:w="2756" w:type="dxa"/>
            <w:gridSpan w:val="5"/>
            <w:vAlign w:val="center"/>
          </w:tcPr>
          <w:p>
            <w:pPr>
              <w:widowControl w:val="0"/>
              <w:tabs>
                <w:tab w:val="center" w:pos="4153"/>
                <w:tab w:val="right" w:pos="8306"/>
              </w:tabs>
              <w:snapToGrid w:val="0"/>
              <w:spacing w:line="240" w:lineRule="auto"/>
              <w:ind w:firstLine="480" w:firstLineChars="200"/>
              <w:jc w:val="center"/>
              <w:rPr>
                <w:rFonts w:eastAsia="宋体"/>
                <w:sz w:val="24"/>
                <w:szCs w:val="24"/>
              </w:rPr>
            </w:pPr>
            <w:r>
              <w:rPr>
                <w:rFonts w:eastAsia="宋体"/>
                <w:sz w:val="24"/>
                <w:szCs w:val="24"/>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7" w:type="dxa"/>
            <w:gridSpan w:val="17"/>
            <w:vAlign w:val="center"/>
          </w:tcPr>
          <w:p>
            <w:pPr>
              <w:pStyle w:val="3"/>
              <w:spacing w:line="500" w:lineRule="exact"/>
              <w:rPr>
                <w:rFonts w:eastAsia="宋体"/>
                <w:sz w:val="24"/>
                <w:szCs w:val="24"/>
              </w:rPr>
            </w:pPr>
            <w:r>
              <w:rPr>
                <w:rFonts w:eastAsia="宋体"/>
                <w:sz w:val="24"/>
                <w:szCs w:val="24"/>
              </w:rPr>
              <w:t>原辅材料（包括名称、年用量），主要产品（包括名称、产量）及主要设施规格数量（包括锅炉、发电机等）</w:t>
            </w:r>
          </w:p>
          <w:p>
            <w:pPr>
              <w:spacing w:line="420" w:lineRule="exact"/>
              <w:ind w:firstLine="480" w:firstLineChars="200"/>
              <w:rPr>
                <w:rFonts w:eastAsia="宋体"/>
                <w:sz w:val="24"/>
                <w:szCs w:val="24"/>
              </w:rPr>
            </w:pPr>
            <w:r>
              <w:rPr>
                <w:rFonts w:eastAsia="宋体"/>
                <w:sz w:val="24"/>
                <w:szCs w:val="24"/>
              </w:rPr>
              <w:t>详见表1-2“产品方案表”、表1-4“主要设备”。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7" w:type="dxa"/>
            <w:gridSpan w:val="17"/>
            <w:vAlign w:val="center"/>
          </w:tcPr>
          <w:p>
            <w:pPr>
              <w:spacing w:line="420" w:lineRule="exact"/>
              <w:rPr>
                <w:rFonts w:eastAsia="宋体"/>
                <w:sz w:val="24"/>
                <w:szCs w:val="24"/>
              </w:rPr>
            </w:pPr>
            <w:r>
              <w:rPr>
                <w:rFonts w:eastAsia="宋体"/>
                <w:sz w:val="24"/>
                <w:szCs w:val="24"/>
              </w:rPr>
              <w:t>水及能源消耗量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  称</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   称</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水（立方米/年）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858</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柴油（吨/年）</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电（万千瓦时/年）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6</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燃气（标立方米/年）</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燃煤（吨/年）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其 它</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9287" w:type="dxa"/>
            <w:gridSpan w:val="17"/>
          </w:tcPr>
          <w:p>
            <w:pPr>
              <w:spacing w:before="120" w:beforeLines="50"/>
              <w:rPr>
                <w:rFonts w:eastAsia="宋体"/>
                <w:sz w:val="24"/>
                <w:szCs w:val="24"/>
              </w:rPr>
            </w:pPr>
            <w:r>
              <w:rPr>
                <w:rFonts w:eastAsia="宋体"/>
                <w:sz w:val="24"/>
                <w:szCs w:val="24"/>
              </w:rPr>
              <w:t>废水（生活污水）排水量及排放去向：</w:t>
            </w:r>
          </w:p>
          <w:p>
            <w:pPr>
              <w:spacing w:before="120" w:beforeLines="50"/>
              <w:ind w:firstLine="480" w:firstLineChars="200"/>
              <w:rPr>
                <w:rFonts w:eastAsia="宋体"/>
                <w:sz w:val="24"/>
                <w:szCs w:val="24"/>
              </w:rPr>
            </w:pPr>
            <w:r>
              <w:rPr>
                <w:rFonts w:eastAsia="宋体"/>
                <w:sz w:val="24"/>
                <w:szCs w:val="24"/>
              </w:rPr>
              <w:t>项目实行雨、污分流；雨水排入雨水管道；建设项目无生产废水排放；生活污水产生量</w:t>
            </w:r>
            <w:r>
              <w:rPr>
                <w:rFonts w:hint="eastAsia" w:eastAsia="宋体"/>
                <w:sz w:val="24"/>
                <w:szCs w:val="24"/>
              </w:rPr>
              <w:t>686.4</w:t>
            </w:r>
            <w:r>
              <w:rPr>
                <w:rFonts w:eastAsia="宋体"/>
                <w:sz w:val="24"/>
                <w:szCs w:val="24"/>
              </w:rPr>
              <w:t>t/a，生活污水经化粪池预处理后排入市政污水管网，进入</w:t>
            </w:r>
            <w:r>
              <w:rPr>
                <w:rFonts w:hint="eastAsia" w:eastAsia="宋体"/>
                <w:bCs/>
                <w:sz w:val="24"/>
                <w:szCs w:val="24"/>
              </w:rPr>
              <w:t>沭阳县城东污水处理厂</w:t>
            </w:r>
            <w:r>
              <w:rPr>
                <w:rFonts w:eastAsia="宋体"/>
                <w:sz w:val="24"/>
                <w:szCs w:val="24"/>
              </w:rPr>
              <w:t>集中处理，尾水达到《城镇污水处理厂污染物排放标准》（GB18918-2002）中的一级</w:t>
            </w:r>
            <w:r>
              <w:rPr>
                <w:rFonts w:hint="eastAsia" w:eastAsia="宋体"/>
                <w:sz w:val="24"/>
                <w:szCs w:val="24"/>
              </w:rPr>
              <w:t>A</w:t>
            </w:r>
            <w:r>
              <w:rPr>
                <w:rFonts w:eastAsia="宋体"/>
                <w:sz w:val="24"/>
                <w:szCs w:val="24"/>
              </w:rPr>
              <w:t>标准后排入</w:t>
            </w:r>
            <w:r>
              <w:rPr>
                <w:rFonts w:hint="eastAsia" w:eastAsia="宋体"/>
                <w:sz w:val="24"/>
                <w:szCs w:val="24"/>
              </w:rPr>
              <w:t>沂南河</w:t>
            </w: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287" w:type="dxa"/>
            <w:gridSpan w:val="17"/>
          </w:tcPr>
          <w:p>
            <w:pPr>
              <w:spacing w:line="500" w:lineRule="exact"/>
              <w:rPr>
                <w:rFonts w:eastAsia="宋体"/>
                <w:sz w:val="24"/>
                <w:szCs w:val="24"/>
              </w:rPr>
            </w:pPr>
            <w:r>
              <w:rPr>
                <w:rFonts w:eastAsia="宋体"/>
                <w:sz w:val="24"/>
                <w:szCs w:val="24"/>
              </w:rPr>
              <w:t>放射性同位素和伴有电磁辐射的设施的使用情况：</w:t>
            </w:r>
          </w:p>
          <w:p>
            <w:pPr>
              <w:spacing w:line="500" w:lineRule="exact"/>
              <w:ind w:firstLine="480" w:firstLineChars="200"/>
              <w:rPr>
                <w:rFonts w:eastAsia="宋体"/>
                <w:sz w:val="24"/>
                <w:szCs w:val="24"/>
              </w:rPr>
            </w:pPr>
            <w:r>
              <w:rPr>
                <w:rFonts w:eastAsia="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4" w:hRule="atLeast"/>
          <w:jc w:val="center"/>
        </w:trPr>
        <w:tc>
          <w:tcPr>
            <w:tcW w:w="9287" w:type="dxa"/>
            <w:gridSpan w:val="17"/>
            <w:tcBorders>
              <w:bottom w:val="single" w:color="auto" w:sz="4" w:space="0"/>
            </w:tcBorders>
            <w:vAlign w:val="center"/>
          </w:tcPr>
          <w:p>
            <w:pPr>
              <w:snapToGrid w:val="0"/>
              <w:spacing w:line="500" w:lineRule="exact"/>
              <w:rPr>
                <w:rFonts w:eastAsia="宋体"/>
                <w:b/>
                <w:sz w:val="24"/>
                <w:szCs w:val="24"/>
              </w:rPr>
            </w:pPr>
            <w:r>
              <w:rPr>
                <w:rFonts w:eastAsia="宋体"/>
                <w:b/>
                <w:sz w:val="24"/>
                <w:szCs w:val="24"/>
              </w:rPr>
              <w:t>工程内容及规模：</w:t>
            </w:r>
          </w:p>
          <w:p>
            <w:pPr>
              <w:snapToGrid w:val="0"/>
              <w:spacing w:line="500" w:lineRule="exact"/>
              <w:ind w:firstLine="482" w:firstLineChars="200"/>
              <w:rPr>
                <w:rFonts w:eastAsia="宋体"/>
                <w:b/>
                <w:sz w:val="24"/>
                <w:szCs w:val="24"/>
              </w:rPr>
            </w:pPr>
            <w:r>
              <w:rPr>
                <w:rFonts w:eastAsia="宋体"/>
                <w:b/>
                <w:sz w:val="24"/>
                <w:szCs w:val="24"/>
              </w:rPr>
              <w:t>1、项目由来</w:t>
            </w:r>
          </w:p>
          <w:p>
            <w:pPr>
              <w:snapToGrid w:val="0"/>
              <w:spacing w:line="500" w:lineRule="exact"/>
              <w:ind w:firstLine="480" w:firstLineChars="200"/>
              <w:rPr>
                <w:rFonts w:eastAsia="宋体"/>
                <w:sz w:val="24"/>
                <w:szCs w:val="24"/>
              </w:rPr>
            </w:pPr>
            <w:r>
              <w:rPr>
                <w:rFonts w:eastAsia="宋体"/>
                <w:sz w:val="24"/>
                <w:szCs w:val="24"/>
              </w:rPr>
              <w:t>中国石油天然气股份有限公司江苏宿迁销售分公司投资建设的</w:t>
            </w:r>
            <w:r>
              <w:rPr>
                <w:rFonts w:hint="eastAsia" w:eastAsia="宋体"/>
                <w:sz w:val="24"/>
                <w:szCs w:val="24"/>
              </w:rPr>
              <w:t>沭阳县青岛路加油站</w:t>
            </w:r>
            <w:r>
              <w:rPr>
                <w:rFonts w:eastAsia="宋体"/>
                <w:sz w:val="24"/>
                <w:szCs w:val="24"/>
              </w:rPr>
              <w:t>项目（运营单位：中国石油天然气股份有限公司江苏宿迁</w:t>
            </w:r>
            <w:r>
              <w:rPr>
                <w:rFonts w:hint="eastAsia" w:eastAsia="宋体"/>
                <w:sz w:val="24"/>
                <w:szCs w:val="24"/>
              </w:rPr>
              <w:t>沭阳县青岛路加油站</w:t>
            </w:r>
            <w:r>
              <w:rPr>
                <w:rFonts w:eastAsia="宋体"/>
                <w:sz w:val="24"/>
                <w:szCs w:val="24"/>
              </w:rPr>
              <w:t>）位于</w:t>
            </w:r>
            <w:r>
              <w:rPr>
                <w:rFonts w:hint="eastAsia" w:eastAsia="宋体"/>
                <w:sz w:val="24"/>
                <w:szCs w:val="24"/>
              </w:rPr>
              <w:t>沭阳县青岛路北侧民政局老年公寓东侧</w:t>
            </w:r>
            <w:r>
              <w:rPr>
                <w:rFonts w:eastAsia="宋体"/>
                <w:sz w:val="24"/>
                <w:szCs w:val="24"/>
              </w:rPr>
              <w:t>，主要从事成品油（汽油、柴油）的零售业务，汽油年销售量</w:t>
            </w:r>
            <w:r>
              <w:rPr>
                <w:rFonts w:hint="eastAsia" w:eastAsia="宋体"/>
                <w:sz w:val="24"/>
                <w:szCs w:val="24"/>
              </w:rPr>
              <w:t>3000</w:t>
            </w:r>
            <w:r>
              <w:rPr>
                <w:rFonts w:eastAsia="宋体"/>
                <w:sz w:val="24"/>
                <w:szCs w:val="24"/>
              </w:rPr>
              <w:t>吨，柴油年销售量</w:t>
            </w:r>
            <w:r>
              <w:rPr>
                <w:rFonts w:hint="eastAsia" w:eastAsia="宋体"/>
                <w:sz w:val="24"/>
                <w:szCs w:val="24"/>
              </w:rPr>
              <w:t>200</w:t>
            </w:r>
            <w:r>
              <w:rPr>
                <w:rFonts w:eastAsia="宋体"/>
                <w:sz w:val="24"/>
                <w:szCs w:val="24"/>
              </w:rPr>
              <w:t>吨。占地面积</w:t>
            </w:r>
            <w:r>
              <w:rPr>
                <w:rFonts w:hint="eastAsia" w:eastAsia="宋体"/>
                <w:sz w:val="24"/>
                <w:szCs w:val="24"/>
              </w:rPr>
              <w:t>2850</w:t>
            </w:r>
            <w:r>
              <w:rPr>
                <w:rFonts w:eastAsia="宋体"/>
                <w:sz w:val="24"/>
                <w:szCs w:val="24"/>
              </w:rPr>
              <w:t>m</w:t>
            </w:r>
            <w:r>
              <w:rPr>
                <w:rFonts w:eastAsia="宋体"/>
                <w:sz w:val="24"/>
                <w:szCs w:val="24"/>
                <w:vertAlign w:val="superscript"/>
              </w:rPr>
              <w:t>2</w:t>
            </w:r>
            <w:r>
              <w:rPr>
                <w:rFonts w:eastAsia="宋体"/>
                <w:sz w:val="24"/>
                <w:szCs w:val="24"/>
              </w:rPr>
              <w:t>，于</w:t>
            </w:r>
            <w:r>
              <w:rPr>
                <w:rFonts w:hint="eastAsia" w:eastAsia="宋体"/>
                <w:sz w:val="24"/>
                <w:szCs w:val="24"/>
              </w:rPr>
              <w:t>2011</w:t>
            </w:r>
            <w:r>
              <w:rPr>
                <w:rFonts w:eastAsia="宋体"/>
                <w:sz w:val="24"/>
                <w:szCs w:val="24"/>
              </w:rPr>
              <w:t>年</w:t>
            </w:r>
            <w:r>
              <w:rPr>
                <w:rFonts w:hint="eastAsia" w:eastAsia="宋体"/>
                <w:sz w:val="24"/>
                <w:szCs w:val="24"/>
              </w:rPr>
              <w:t>03</w:t>
            </w:r>
            <w:r>
              <w:rPr>
                <w:rFonts w:eastAsia="宋体"/>
                <w:sz w:val="24"/>
                <w:szCs w:val="24"/>
              </w:rPr>
              <w:t>月建成运营（见成品油零售经营许可证日期），未办理环评手续。</w:t>
            </w:r>
          </w:p>
          <w:p>
            <w:pPr>
              <w:snapToGrid w:val="0"/>
              <w:spacing w:line="500" w:lineRule="exact"/>
              <w:ind w:firstLine="480" w:firstLineChars="200"/>
              <w:rPr>
                <w:rFonts w:eastAsia="宋体"/>
                <w:sz w:val="24"/>
                <w:szCs w:val="24"/>
              </w:rPr>
            </w:pPr>
            <w:r>
              <w:rPr>
                <w:rFonts w:eastAsia="宋体"/>
                <w:sz w:val="24"/>
                <w:szCs w:val="24"/>
              </w:rPr>
              <w:t>根据《关于建设项目“未批先建”违法行为法律适用问题的意见》（环政法函［2018］31号）：“二、关于未批先建违法行为的行政处罚追溯期限（二）追溯期限的起算时间未批先建违法行为自建设行为终了之日起二年内未被发现的，环保部门应当遵守行政处罚法第二十九条的规定，不予行政处罚。” “三、关于建设单位可否主动补交环境影响报告书、报告表报送评审（二）建设单位主动补交环境影响报告书、报告表并报送环保部门审查的，有权审批的环保部门应当受理….未批先建违法行为自建设行为终了之日起二年内未被发现而未予以行政处罚的，建设单位主动补交环境影响报告书、报告表并报送环保部门审查的，有权审批的环保部门应当受理，并根据不同情形分别作出相应处理：1、对符合环境影响评价审批要求的，依法作出批准决定。2、对不符合环境影响评价审批要求的，依法不予批准，并可以依法责令恢复原状。”本项目于20</w:t>
            </w:r>
            <w:r>
              <w:rPr>
                <w:rFonts w:hint="eastAsia" w:eastAsia="宋体"/>
                <w:sz w:val="24"/>
                <w:szCs w:val="24"/>
              </w:rPr>
              <w:t>11</w:t>
            </w:r>
            <w:r>
              <w:rPr>
                <w:rFonts w:eastAsia="宋体"/>
                <w:sz w:val="24"/>
                <w:szCs w:val="24"/>
              </w:rPr>
              <w:t>年</w:t>
            </w:r>
            <w:r>
              <w:rPr>
                <w:rFonts w:hint="eastAsia" w:eastAsia="宋体"/>
                <w:sz w:val="24"/>
                <w:szCs w:val="24"/>
              </w:rPr>
              <w:t>03</w:t>
            </w:r>
            <w:r>
              <w:rPr>
                <w:rFonts w:eastAsia="宋体"/>
                <w:sz w:val="24"/>
                <w:szCs w:val="24"/>
              </w:rPr>
              <w:t>月投入运营，自建设行为终了之日起已超出二年期限。</w:t>
            </w:r>
          </w:p>
          <w:p>
            <w:pPr>
              <w:snapToGrid w:val="0"/>
              <w:spacing w:line="500" w:lineRule="exact"/>
              <w:ind w:firstLine="480" w:firstLineChars="200"/>
              <w:rPr>
                <w:rFonts w:eastAsia="宋体"/>
                <w:sz w:val="24"/>
                <w:szCs w:val="24"/>
              </w:rPr>
            </w:pPr>
            <w:r>
              <w:rPr>
                <w:rFonts w:eastAsia="宋体"/>
                <w:sz w:val="24"/>
                <w:szCs w:val="24"/>
              </w:rPr>
              <w:t>根据《中华人民共和国环境影响评价法》（第77号主席令）、《建设项目环境保护管理条例》（国务院第253号令）等文件规定，该项目须执行环境影响评价审批制度。查《建设项目环境影响评价分类管理名录》（2018年4月28日修订），本项目属于其中“四十、社会事业与服务业——124加油站”，需编制建设项目环境影响报告表。中国石油天然气股份有限公司江苏宿迁销售分公司为完善环保手续，主动依法履行环境影响评价手续，委托江苏润天环境科技有限公司承担该项目环境影响报告表的编制工作，江苏润天环境科技有限公司经过现场勘察及工程分析，依据“环境影响评价技术导则”系列文件和《江苏省建设项目环境影响报告表主要内容编制要求（试行）》的要求，编制了该项目的环境影响评价报告表。</w:t>
            </w:r>
          </w:p>
          <w:p>
            <w:pPr>
              <w:snapToGrid w:val="0"/>
              <w:spacing w:line="500" w:lineRule="exact"/>
              <w:ind w:firstLine="482" w:firstLineChars="200"/>
              <w:rPr>
                <w:rFonts w:eastAsia="宋体"/>
                <w:b/>
                <w:sz w:val="24"/>
                <w:szCs w:val="24"/>
              </w:rPr>
            </w:pPr>
            <w:r>
              <w:rPr>
                <w:rFonts w:eastAsia="宋体"/>
                <w:b/>
                <w:sz w:val="24"/>
                <w:szCs w:val="24"/>
              </w:rPr>
              <w:t>2、项目概况</w:t>
            </w:r>
          </w:p>
          <w:p>
            <w:pPr>
              <w:snapToGrid w:val="0"/>
              <w:spacing w:line="500" w:lineRule="exact"/>
              <w:ind w:firstLine="480" w:firstLineChars="200"/>
              <w:rPr>
                <w:rFonts w:eastAsia="宋体"/>
                <w:sz w:val="24"/>
                <w:szCs w:val="24"/>
              </w:rPr>
            </w:pPr>
            <w:r>
              <w:rPr>
                <w:rFonts w:eastAsia="宋体"/>
                <w:sz w:val="24"/>
                <w:szCs w:val="24"/>
              </w:rPr>
              <w:t>（1）地理位置及周边环境</w:t>
            </w:r>
          </w:p>
          <w:p>
            <w:pPr>
              <w:snapToGrid w:val="0"/>
              <w:spacing w:line="500" w:lineRule="exact"/>
              <w:ind w:firstLine="480" w:firstLineChars="200"/>
              <w:rPr>
                <w:rFonts w:eastAsia="宋体"/>
                <w:sz w:val="24"/>
                <w:szCs w:val="24"/>
              </w:rPr>
            </w:pPr>
            <w:r>
              <w:rPr>
                <w:rFonts w:eastAsia="宋体"/>
                <w:sz w:val="24"/>
                <w:szCs w:val="24"/>
              </w:rPr>
              <w:t>本项目位于</w:t>
            </w:r>
            <w:r>
              <w:rPr>
                <w:rFonts w:hint="eastAsia" w:eastAsia="宋体"/>
                <w:sz w:val="24"/>
                <w:szCs w:val="24"/>
              </w:rPr>
              <w:t>沭阳县青岛路北侧民政局老年公寓东侧</w:t>
            </w:r>
            <w:r>
              <w:rPr>
                <w:rFonts w:eastAsia="宋体"/>
                <w:sz w:val="24"/>
                <w:szCs w:val="24"/>
              </w:rPr>
              <w:t>，方便过往车辆加油。东侧为空地、西侧为</w:t>
            </w:r>
            <w:r>
              <w:rPr>
                <w:rFonts w:hint="eastAsia" w:eastAsia="宋体"/>
                <w:sz w:val="24"/>
                <w:szCs w:val="24"/>
              </w:rPr>
              <w:t>江苏沭阳光荣院</w:t>
            </w:r>
            <w:r>
              <w:rPr>
                <w:rFonts w:eastAsia="宋体"/>
                <w:sz w:val="24"/>
                <w:szCs w:val="24"/>
              </w:rPr>
              <w:t>、北侧为</w:t>
            </w:r>
            <w:r>
              <w:rPr>
                <w:rFonts w:hint="eastAsia" w:eastAsia="宋体"/>
                <w:sz w:val="24"/>
                <w:szCs w:val="24"/>
              </w:rPr>
              <w:t>林地</w:t>
            </w:r>
            <w:r>
              <w:rPr>
                <w:rFonts w:eastAsia="宋体"/>
                <w:sz w:val="24"/>
                <w:szCs w:val="24"/>
              </w:rPr>
              <w:t>，</w:t>
            </w:r>
            <w:r>
              <w:rPr>
                <w:rFonts w:hint="eastAsia" w:eastAsia="宋体"/>
                <w:sz w:val="24"/>
                <w:szCs w:val="24"/>
              </w:rPr>
              <w:t>南</w:t>
            </w:r>
            <w:r>
              <w:rPr>
                <w:rFonts w:eastAsia="宋体"/>
                <w:sz w:val="24"/>
                <w:szCs w:val="24"/>
              </w:rPr>
              <w:t>侧是</w:t>
            </w:r>
            <w:r>
              <w:rPr>
                <w:rFonts w:hint="eastAsia" w:eastAsia="宋体"/>
                <w:sz w:val="24"/>
                <w:szCs w:val="24"/>
              </w:rPr>
              <w:t>青年路，隔路为沭阳县公安局青岛路派出所</w:t>
            </w:r>
            <w:r>
              <w:rPr>
                <w:rFonts w:eastAsia="宋体"/>
                <w:sz w:val="24"/>
                <w:szCs w:val="24"/>
              </w:rPr>
              <w:t>。项目地理位置和项目周边环境现状见附图。</w:t>
            </w:r>
          </w:p>
          <w:p>
            <w:pPr>
              <w:snapToGrid w:val="0"/>
              <w:spacing w:line="500" w:lineRule="exact"/>
              <w:ind w:firstLine="480" w:firstLineChars="200"/>
              <w:rPr>
                <w:rFonts w:eastAsia="宋体"/>
                <w:sz w:val="24"/>
                <w:szCs w:val="24"/>
              </w:rPr>
            </w:pPr>
            <w:r>
              <w:rPr>
                <w:rFonts w:eastAsia="宋体"/>
                <w:sz w:val="24"/>
                <w:szCs w:val="24"/>
              </w:rPr>
              <w:t>（2）建设规模及内容</w:t>
            </w:r>
          </w:p>
          <w:p>
            <w:pPr>
              <w:snapToGrid w:val="0"/>
              <w:spacing w:line="500" w:lineRule="exact"/>
              <w:ind w:firstLine="480" w:firstLineChars="200"/>
              <w:rPr>
                <w:rFonts w:eastAsia="宋体"/>
                <w:sz w:val="24"/>
                <w:szCs w:val="24"/>
              </w:rPr>
            </w:pPr>
            <w:r>
              <w:rPr>
                <w:rFonts w:eastAsia="宋体"/>
                <w:sz w:val="24"/>
                <w:szCs w:val="24"/>
              </w:rPr>
              <w:t>项目由油罐区、附属站房和罩棚组成，总占地面积</w:t>
            </w:r>
            <w:r>
              <w:rPr>
                <w:rFonts w:hint="eastAsia" w:eastAsia="宋体"/>
                <w:sz w:val="24"/>
                <w:szCs w:val="24"/>
              </w:rPr>
              <w:t>2850</w:t>
            </w:r>
            <w:r>
              <w:rPr>
                <w:rFonts w:eastAsia="宋体"/>
                <w:sz w:val="24"/>
                <w:szCs w:val="24"/>
              </w:rPr>
              <w:t>m</w:t>
            </w:r>
            <w:r>
              <w:rPr>
                <w:rFonts w:eastAsia="宋体"/>
                <w:sz w:val="24"/>
                <w:szCs w:val="24"/>
                <w:vertAlign w:val="superscript"/>
              </w:rPr>
              <w:t>2</w:t>
            </w:r>
            <w:r>
              <w:rPr>
                <w:rFonts w:eastAsia="宋体"/>
                <w:sz w:val="24"/>
                <w:szCs w:val="24"/>
              </w:rPr>
              <w:t>，站房面积</w:t>
            </w:r>
            <w:r>
              <w:rPr>
                <w:rFonts w:hint="eastAsia" w:eastAsia="宋体"/>
                <w:sz w:val="24"/>
                <w:szCs w:val="24"/>
              </w:rPr>
              <w:t>240</w:t>
            </w:r>
            <w:r>
              <w:rPr>
                <w:rFonts w:eastAsia="宋体"/>
                <w:sz w:val="24"/>
                <w:szCs w:val="24"/>
              </w:rPr>
              <w:t>m</w:t>
            </w:r>
            <w:r>
              <w:rPr>
                <w:rFonts w:eastAsia="宋体"/>
                <w:sz w:val="24"/>
                <w:szCs w:val="24"/>
                <w:vertAlign w:val="superscript"/>
              </w:rPr>
              <w:t>2</w:t>
            </w:r>
            <w:r>
              <w:rPr>
                <w:rFonts w:eastAsia="宋体"/>
                <w:sz w:val="24"/>
                <w:szCs w:val="24"/>
              </w:rPr>
              <w:t>，罩棚面积</w:t>
            </w:r>
            <w:r>
              <w:rPr>
                <w:rFonts w:hint="eastAsia" w:eastAsia="宋体"/>
                <w:sz w:val="24"/>
                <w:szCs w:val="24"/>
              </w:rPr>
              <w:t>500</w:t>
            </w:r>
            <w:r>
              <w:rPr>
                <w:rFonts w:eastAsia="宋体"/>
                <w:sz w:val="24"/>
                <w:szCs w:val="24"/>
              </w:rPr>
              <w:t>m</w:t>
            </w:r>
            <w:r>
              <w:rPr>
                <w:rFonts w:eastAsia="宋体"/>
                <w:sz w:val="24"/>
                <w:szCs w:val="24"/>
                <w:vertAlign w:val="superscript"/>
              </w:rPr>
              <w:t>2</w:t>
            </w:r>
            <w:r>
              <w:rPr>
                <w:rFonts w:eastAsia="宋体"/>
                <w:sz w:val="24"/>
                <w:szCs w:val="24"/>
              </w:rPr>
              <w:t>，绿化面积</w:t>
            </w:r>
            <w:r>
              <w:rPr>
                <w:rFonts w:hint="eastAsia" w:eastAsia="宋体"/>
                <w:sz w:val="24"/>
                <w:szCs w:val="24"/>
              </w:rPr>
              <w:t>180</w:t>
            </w:r>
            <w:r>
              <w:rPr>
                <w:rFonts w:eastAsia="宋体"/>
                <w:sz w:val="24"/>
                <w:szCs w:val="24"/>
              </w:rPr>
              <w:t>m</w:t>
            </w:r>
            <w:r>
              <w:rPr>
                <w:rFonts w:eastAsia="宋体"/>
                <w:sz w:val="24"/>
                <w:szCs w:val="24"/>
                <w:vertAlign w:val="superscript"/>
              </w:rPr>
              <w:t>2</w:t>
            </w:r>
            <w:r>
              <w:rPr>
                <w:rFonts w:eastAsia="宋体"/>
                <w:sz w:val="24"/>
                <w:szCs w:val="24"/>
              </w:rPr>
              <w:t>，绿化率为</w:t>
            </w:r>
            <w:r>
              <w:rPr>
                <w:rFonts w:hint="eastAsia" w:eastAsia="宋体"/>
                <w:sz w:val="24"/>
                <w:szCs w:val="24"/>
              </w:rPr>
              <w:t>6.3</w:t>
            </w:r>
            <w:r>
              <w:rPr>
                <w:rFonts w:eastAsia="宋体"/>
                <w:sz w:val="24"/>
                <w:szCs w:val="24"/>
              </w:rPr>
              <w:t>%。项目主要经营销售汽油、柴油，年销售成品油约为</w:t>
            </w:r>
            <w:r>
              <w:rPr>
                <w:rFonts w:hint="eastAsia" w:eastAsia="宋体"/>
                <w:sz w:val="24"/>
                <w:szCs w:val="24"/>
              </w:rPr>
              <w:t>3200</w:t>
            </w:r>
            <w:r>
              <w:rPr>
                <w:rFonts w:eastAsia="宋体"/>
                <w:sz w:val="24"/>
                <w:szCs w:val="24"/>
              </w:rPr>
              <w:t>t，其中汽油</w:t>
            </w:r>
            <w:r>
              <w:rPr>
                <w:rFonts w:hint="eastAsia" w:eastAsia="宋体"/>
                <w:sz w:val="24"/>
                <w:szCs w:val="24"/>
              </w:rPr>
              <w:t>3000</w:t>
            </w:r>
            <w:r>
              <w:rPr>
                <w:rFonts w:eastAsia="宋体"/>
                <w:sz w:val="24"/>
                <w:szCs w:val="24"/>
              </w:rPr>
              <w:t>t、柴油</w:t>
            </w:r>
            <w:r>
              <w:rPr>
                <w:rFonts w:hint="eastAsia" w:eastAsia="宋体"/>
                <w:sz w:val="24"/>
                <w:szCs w:val="24"/>
              </w:rPr>
              <w:t>200</w:t>
            </w:r>
            <w:r>
              <w:rPr>
                <w:rFonts w:eastAsia="宋体"/>
                <w:sz w:val="24"/>
                <w:szCs w:val="24"/>
              </w:rPr>
              <w:t>t。</w:t>
            </w:r>
          </w:p>
          <w:p>
            <w:pPr>
              <w:snapToGrid w:val="0"/>
              <w:spacing w:line="500" w:lineRule="exact"/>
              <w:ind w:firstLine="480" w:firstLineChars="200"/>
              <w:rPr>
                <w:rFonts w:eastAsia="宋体"/>
                <w:sz w:val="24"/>
                <w:szCs w:val="24"/>
              </w:rPr>
            </w:pPr>
            <w:r>
              <w:rPr>
                <w:rFonts w:eastAsia="宋体"/>
                <w:sz w:val="24"/>
                <w:szCs w:val="24"/>
              </w:rPr>
              <w:t>本站设30m</w:t>
            </w:r>
            <w:r>
              <w:rPr>
                <w:rFonts w:eastAsia="宋体"/>
                <w:sz w:val="24"/>
                <w:szCs w:val="24"/>
                <w:vertAlign w:val="superscript"/>
              </w:rPr>
              <w:t>3</w:t>
            </w:r>
            <w:r>
              <w:rPr>
                <w:rFonts w:eastAsia="宋体"/>
                <w:sz w:val="24"/>
                <w:szCs w:val="24"/>
              </w:rPr>
              <w:t>埋地储油罐</w:t>
            </w:r>
            <w:r>
              <w:rPr>
                <w:rFonts w:hint="eastAsia" w:eastAsia="宋体"/>
                <w:sz w:val="24"/>
                <w:szCs w:val="24"/>
              </w:rPr>
              <w:t>4</w:t>
            </w:r>
            <w:r>
              <w:rPr>
                <w:rFonts w:eastAsia="宋体"/>
                <w:sz w:val="24"/>
                <w:szCs w:val="24"/>
              </w:rPr>
              <w:t>个，其中</w:t>
            </w:r>
            <w:r>
              <w:rPr>
                <w:rFonts w:hint="eastAsia" w:eastAsia="宋体"/>
                <w:sz w:val="24"/>
                <w:szCs w:val="24"/>
              </w:rPr>
              <w:t>3</w:t>
            </w:r>
            <w:r>
              <w:rPr>
                <w:rFonts w:eastAsia="宋体"/>
                <w:sz w:val="24"/>
                <w:szCs w:val="24"/>
              </w:rPr>
              <w:t>个为汽油罐，</w:t>
            </w:r>
            <w:r>
              <w:rPr>
                <w:rFonts w:hint="eastAsia" w:eastAsia="宋体"/>
                <w:sz w:val="24"/>
                <w:szCs w:val="24"/>
              </w:rPr>
              <w:t>1</w:t>
            </w:r>
            <w:r>
              <w:rPr>
                <w:rFonts w:eastAsia="宋体"/>
                <w:sz w:val="24"/>
                <w:szCs w:val="24"/>
              </w:rPr>
              <w:t>个为柴油罐，总罐容</w:t>
            </w:r>
            <w:r>
              <w:rPr>
                <w:rFonts w:hint="eastAsia" w:eastAsia="宋体"/>
                <w:sz w:val="24"/>
                <w:szCs w:val="24"/>
              </w:rPr>
              <w:t>120</w:t>
            </w:r>
            <w:r>
              <w:rPr>
                <w:rFonts w:eastAsia="宋体"/>
                <w:sz w:val="24"/>
                <w:szCs w:val="24"/>
              </w:rPr>
              <w:t>m</w:t>
            </w:r>
            <w:r>
              <w:rPr>
                <w:rFonts w:eastAsia="宋体"/>
                <w:sz w:val="24"/>
                <w:szCs w:val="24"/>
                <w:vertAlign w:val="superscript"/>
              </w:rPr>
              <w:t>3</w:t>
            </w:r>
            <w:r>
              <w:rPr>
                <w:rFonts w:eastAsia="宋体"/>
                <w:sz w:val="24"/>
                <w:szCs w:val="24"/>
              </w:rPr>
              <w:t>，折合汽油总罐容</w:t>
            </w:r>
            <w:r>
              <w:rPr>
                <w:rFonts w:hint="eastAsia" w:eastAsia="宋体"/>
                <w:sz w:val="24"/>
                <w:szCs w:val="24"/>
              </w:rPr>
              <w:t>105</w:t>
            </w:r>
            <w:r>
              <w:rPr>
                <w:rFonts w:eastAsia="宋体"/>
                <w:sz w:val="24"/>
                <w:szCs w:val="24"/>
              </w:rPr>
              <w:t>m</w:t>
            </w:r>
            <w:r>
              <w:rPr>
                <w:rFonts w:eastAsia="宋体"/>
                <w:sz w:val="24"/>
                <w:szCs w:val="24"/>
                <w:vertAlign w:val="superscript"/>
              </w:rPr>
              <w:t>3</w:t>
            </w:r>
            <w:r>
              <w:rPr>
                <w:rFonts w:eastAsia="宋体"/>
                <w:sz w:val="24"/>
                <w:szCs w:val="24"/>
              </w:rPr>
              <w:t>（柴油罐容量折半计算）。依据《汽车加油加气站设计与施工规范》（GB50156-2012，2014年修订版），本站为</w:t>
            </w:r>
            <w:r>
              <w:rPr>
                <w:rFonts w:hint="eastAsia" w:eastAsia="宋体"/>
                <w:sz w:val="24"/>
                <w:szCs w:val="24"/>
              </w:rPr>
              <w:t>二</w:t>
            </w:r>
            <w:r>
              <w:rPr>
                <w:rFonts w:eastAsia="宋体"/>
                <w:sz w:val="24"/>
                <w:szCs w:val="24"/>
              </w:rPr>
              <w:t>级加油站。</w:t>
            </w:r>
          </w:p>
          <w:p>
            <w:pPr>
              <w:snapToGrid w:val="0"/>
              <w:spacing w:line="500" w:lineRule="exact"/>
              <w:ind w:firstLine="480" w:firstLineChars="200"/>
              <w:rPr>
                <w:rFonts w:eastAsia="宋体"/>
                <w:sz w:val="24"/>
                <w:szCs w:val="24"/>
              </w:rPr>
            </w:pPr>
            <w:r>
              <w:rPr>
                <w:rFonts w:eastAsia="宋体"/>
                <w:sz w:val="24"/>
                <w:szCs w:val="24"/>
              </w:rPr>
              <w:t>加油站等级划分见表1-1。</w:t>
            </w:r>
          </w:p>
          <w:p>
            <w:pPr>
              <w:snapToGrid w:val="0"/>
              <w:spacing w:line="500" w:lineRule="exact"/>
              <w:ind w:firstLine="482" w:firstLineChars="200"/>
              <w:jc w:val="center"/>
              <w:rPr>
                <w:rFonts w:eastAsia="宋体"/>
                <w:b/>
                <w:sz w:val="24"/>
                <w:szCs w:val="24"/>
              </w:rPr>
            </w:pPr>
            <w:r>
              <w:rPr>
                <w:rFonts w:eastAsia="宋体"/>
                <w:b/>
                <w:sz w:val="24"/>
                <w:szCs w:val="24"/>
              </w:rPr>
              <w:t>表1-1加油站的等级划分</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3470"/>
              <w:gridCol w:w="4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级别</w:t>
                  </w:r>
                </w:p>
              </w:tc>
              <w:tc>
                <w:tcPr>
                  <w:tcW w:w="781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油罐容积（m</w:t>
                  </w:r>
                  <w:r>
                    <w:rPr>
                      <w:rFonts w:eastAsia="宋体"/>
                      <w:sz w:val="21"/>
                      <w:szCs w:val="21"/>
                      <w:vertAlign w:val="superscript"/>
                    </w:rPr>
                    <w:t>3</w:t>
                  </w: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总容积</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单罐容积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150＜V≤210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二级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90＜V≤150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三级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V≤90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汽油罐V≤30，柴油罐V≤50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w:t>
                  </w:r>
                </w:p>
              </w:tc>
              <w:tc>
                <w:tcPr>
                  <w:tcW w:w="3470" w:type="dxa"/>
                  <w:vAlign w:val="center"/>
                </w:tcPr>
                <w:p>
                  <w:pPr>
                    <w:widowControl w:val="0"/>
                    <w:tabs>
                      <w:tab w:val="center" w:pos="4153"/>
                      <w:tab w:val="right" w:pos="8306"/>
                    </w:tabs>
                    <w:snapToGrid w:val="0"/>
                    <w:spacing w:line="240" w:lineRule="auto"/>
                    <w:jc w:val="center"/>
                    <w:rPr>
                      <w:rFonts w:hint="default" w:eastAsia="宋体"/>
                      <w:sz w:val="21"/>
                      <w:szCs w:val="21"/>
                      <w:lang w:val="en-US"/>
                    </w:rPr>
                  </w:pPr>
                  <w:r>
                    <w:rPr>
                      <w:rFonts w:eastAsia="宋体"/>
                      <w:sz w:val="21"/>
                      <w:szCs w:val="21"/>
                    </w:rPr>
                    <w:t>V=</w:t>
                  </w:r>
                  <w:r>
                    <w:rPr>
                      <w:rFonts w:hint="eastAsia" w:eastAsia="宋体"/>
                      <w:sz w:val="21"/>
                      <w:szCs w:val="21"/>
                      <w:lang w:val="en-US" w:eastAsia="zh-CN"/>
                    </w:rPr>
                    <w:t>105</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汽油罐V=30，柴油罐V=30</w:t>
                  </w:r>
                </w:p>
              </w:tc>
            </w:tr>
          </w:tbl>
          <w:p>
            <w:pPr>
              <w:pStyle w:val="103"/>
              <w:adjustRightInd w:val="0"/>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注：①柴油罐容积可折半计入油罐总容积。</w:t>
            </w:r>
          </w:p>
          <w:p>
            <w:pPr>
              <w:snapToGrid w:val="0"/>
              <w:spacing w:line="500" w:lineRule="exact"/>
              <w:ind w:firstLine="480" w:firstLineChars="200"/>
              <w:rPr>
                <w:rFonts w:eastAsia="宋体"/>
                <w:sz w:val="24"/>
                <w:szCs w:val="24"/>
              </w:rPr>
            </w:pPr>
            <w:r>
              <w:rPr>
                <w:rFonts w:eastAsia="宋体"/>
                <w:sz w:val="24"/>
                <w:szCs w:val="24"/>
              </w:rPr>
              <w:t>项目工程组成有主体工程、环保工程和公用工程等，本项目工程组成见表1-2。</w:t>
            </w:r>
          </w:p>
          <w:p>
            <w:pPr>
              <w:snapToGrid w:val="0"/>
              <w:spacing w:line="500" w:lineRule="exact"/>
              <w:ind w:firstLine="482" w:firstLineChars="200"/>
              <w:jc w:val="center"/>
              <w:rPr>
                <w:rFonts w:eastAsia="宋体"/>
                <w:b/>
                <w:bCs/>
                <w:sz w:val="24"/>
                <w:szCs w:val="24"/>
              </w:rPr>
            </w:pPr>
            <w:r>
              <w:rPr>
                <w:rFonts w:eastAsia="宋体"/>
                <w:b/>
                <w:sz w:val="24"/>
                <w:szCs w:val="24"/>
              </w:rPr>
              <w:t>表1-2项目工程组成一览表</w:t>
            </w:r>
          </w:p>
          <w:tbl>
            <w:tblPr>
              <w:tblStyle w:val="28"/>
              <w:tblW w:w="91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41"/>
              <w:gridCol w:w="1718"/>
              <w:gridCol w:w="4261"/>
              <w:gridCol w:w="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类别</w:t>
                  </w:r>
                </w:p>
              </w:tc>
              <w:tc>
                <w:tcPr>
                  <w:tcW w:w="144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项目</w:t>
                  </w:r>
                </w:p>
              </w:tc>
              <w:tc>
                <w:tcPr>
                  <w:tcW w:w="5979" w:type="dxa"/>
                  <w:gridSpan w:val="2"/>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主要设施及工程特征</w:t>
                  </w:r>
                </w:p>
              </w:tc>
              <w:tc>
                <w:tcPr>
                  <w:tcW w:w="859"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主体</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站房</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二层砖混结构，建筑面积为</w:t>
                  </w:r>
                  <w:r>
                    <w:rPr>
                      <w:rFonts w:hint="eastAsia" w:eastAsia="宋体"/>
                      <w:spacing w:val="4"/>
                      <w:sz w:val="21"/>
                      <w:szCs w:val="21"/>
                    </w:rPr>
                    <w:t>240</w:t>
                  </w:r>
                  <w:r>
                    <w:rPr>
                      <w:rFonts w:eastAsia="宋体"/>
                      <w:spacing w:val="4"/>
                      <w:sz w:val="21"/>
                      <w:szCs w:val="21"/>
                    </w:rPr>
                    <w:t>m</w:t>
                  </w:r>
                  <w:r>
                    <w:rPr>
                      <w:rFonts w:eastAsia="宋体"/>
                      <w:spacing w:val="4"/>
                      <w:sz w:val="21"/>
                      <w:szCs w:val="21"/>
                      <w:vertAlign w:val="superscript"/>
                    </w:rPr>
                    <w:t>2</w:t>
                  </w:r>
                  <w:r>
                    <w:rPr>
                      <w:rFonts w:eastAsia="宋体"/>
                      <w:spacing w:val="4"/>
                      <w:sz w:val="21"/>
                      <w:szCs w:val="21"/>
                    </w:rPr>
                    <w:t>，包含办公区、便利店及职工休息室、仓库</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加油罩棚</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为轻钢结构，建筑面积为</w:t>
                  </w:r>
                  <w:r>
                    <w:rPr>
                      <w:rFonts w:hint="eastAsia" w:eastAsia="宋体"/>
                      <w:spacing w:val="4"/>
                      <w:sz w:val="21"/>
                      <w:szCs w:val="21"/>
                    </w:rPr>
                    <w:t>500</w:t>
                  </w:r>
                  <w:r>
                    <w:rPr>
                      <w:rFonts w:eastAsia="宋体"/>
                      <w:spacing w:val="4"/>
                      <w:sz w:val="21"/>
                      <w:szCs w:val="21"/>
                    </w:rPr>
                    <w:t>m</w:t>
                  </w:r>
                  <w:r>
                    <w:rPr>
                      <w:rFonts w:eastAsia="宋体"/>
                      <w:spacing w:val="4"/>
                      <w:sz w:val="21"/>
                      <w:szCs w:val="21"/>
                      <w:vertAlign w:val="superscript"/>
                    </w:rPr>
                    <w:t>2</w:t>
                  </w:r>
                  <w:r>
                    <w:rPr>
                      <w:rFonts w:eastAsia="宋体"/>
                      <w:spacing w:val="4"/>
                      <w:sz w:val="21"/>
                      <w:szCs w:val="21"/>
                    </w:rPr>
                    <w:t>，高度6m。包含4台加油机</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z w:val="21"/>
                      <w:szCs w:val="21"/>
                    </w:rPr>
                    <w:t>储油区</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油罐采用卧式双层油罐埋地设置，共</w:t>
                  </w:r>
                  <w:r>
                    <w:rPr>
                      <w:rFonts w:hint="eastAsia" w:eastAsia="宋体"/>
                      <w:spacing w:val="4"/>
                      <w:sz w:val="21"/>
                      <w:szCs w:val="21"/>
                    </w:rPr>
                    <w:t>4</w:t>
                  </w:r>
                  <w:r>
                    <w:rPr>
                      <w:rFonts w:eastAsia="宋体"/>
                      <w:spacing w:val="4"/>
                      <w:sz w:val="21"/>
                      <w:szCs w:val="21"/>
                    </w:rPr>
                    <w:t>个储油罐（</w:t>
                  </w:r>
                  <w:r>
                    <w:rPr>
                      <w:rFonts w:hint="eastAsia" w:eastAsia="宋体"/>
                      <w:spacing w:val="4"/>
                      <w:sz w:val="21"/>
                      <w:szCs w:val="21"/>
                    </w:rPr>
                    <w:t>3</w:t>
                  </w:r>
                  <w:r>
                    <w:rPr>
                      <w:rFonts w:eastAsia="宋体"/>
                      <w:spacing w:val="4"/>
                      <w:sz w:val="21"/>
                      <w:szCs w:val="21"/>
                    </w:rPr>
                    <w:t>×30m³汽油储罐、</w:t>
                  </w:r>
                  <w:r>
                    <w:rPr>
                      <w:rFonts w:hint="eastAsia" w:eastAsia="宋体"/>
                      <w:spacing w:val="4"/>
                      <w:sz w:val="21"/>
                      <w:szCs w:val="21"/>
                    </w:rPr>
                    <w:t>1</w:t>
                  </w:r>
                  <w:r>
                    <w:rPr>
                      <w:rFonts w:eastAsia="宋体"/>
                      <w:spacing w:val="4"/>
                      <w:sz w:val="21"/>
                      <w:szCs w:val="21"/>
                    </w:rPr>
                    <w:t>×30m³柴油储罐）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公用</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给水</w:t>
                  </w:r>
                </w:p>
              </w:tc>
              <w:tc>
                <w:tcPr>
                  <w:tcW w:w="5979"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snapToGrid w:val="0"/>
                      <w:sz w:val="21"/>
                      <w:szCs w:val="21"/>
                    </w:rPr>
                    <w:t>供水</w:t>
                  </w:r>
                  <w:r>
                    <w:rPr>
                      <w:rFonts w:eastAsia="宋体"/>
                      <w:spacing w:val="4"/>
                      <w:sz w:val="21"/>
                      <w:szCs w:val="21"/>
                    </w:rPr>
                    <w:t>由区域管网供给，</w:t>
                  </w:r>
                  <w:r>
                    <w:rPr>
                      <w:rFonts w:eastAsia="宋体"/>
                      <w:bCs/>
                      <w:spacing w:val="-8"/>
                      <w:sz w:val="21"/>
                      <w:szCs w:val="21"/>
                    </w:rPr>
                    <w:t>总用水量约894.25m</w:t>
                  </w:r>
                  <w:r>
                    <w:rPr>
                      <w:rFonts w:eastAsia="宋体"/>
                      <w:bCs/>
                      <w:spacing w:val="-8"/>
                      <w:sz w:val="21"/>
                      <w:szCs w:val="21"/>
                      <w:vertAlign w:val="superscript"/>
                    </w:rPr>
                    <w:t>3</w:t>
                  </w:r>
                  <w:r>
                    <w:rPr>
                      <w:rFonts w:eastAsia="宋体"/>
                      <w:bCs/>
                      <w:spacing w:val="-8"/>
                      <w:sz w:val="21"/>
                      <w:szCs w:val="21"/>
                    </w:rPr>
                    <w:t>/a</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排水</w:t>
                  </w:r>
                </w:p>
              </w:tc>
              <w:tc>
                <w:tcPr>
                  <w:tcW w:w="5979"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bCs/>
                      <w:sz w:val="21"/>
                      <w:szCs w:val="21"/>
                    </w:rPr>
                    <w:t>雨污分流；生</w:t>
                  </w:r>
                  <w:r>
                    <w:rPr>
                      <w:rFonts w:eastAsia="宋体"/>
                      <w:bCs/>
                      <w:color w:val="000000"/>
                      <w:sz w:val="21"/>
                      <w:szCs w:val="21"/>
                    </w:rPr>
                    <w:t>活污水经5m</w:t>
                  </w:r>
                  <w:r>
                    <w:rPr>
                      <w:rFonts w:eastAsia="宋体"/>
                      <w:bCs/>
                      <w:color w:val="000000"/>
                      <w:sz w:val="21"/>
                      <w:szCs w:val="21"/>
                      <w:vertAlign w:val="superscript"/>
                    </w:rPr>
                    <w:t>3</w:t>
                  </w:r>
                  <w:r>
                    <w:rPr>
                      <w:rFonts w:eastAsia="宋体"/>
                      <w:bCs/>
                      <w:color w:val="000000"/>
                      <w:sz w:val="21"/>
                      <w:szCs w:val="21"/>
                    </w:rPr>
                    <w:t>的化粪池处理后，经市政污水管网接入</w:t>
                  </w:r>
                  <w:r>
                    <w:rPr>
                      <w:rFonts w:hint="eastAsia" w:eastAsia="宋体"/>
                      <w:bCs/>
                      <w:color w:val="000000"/>
                      <w:sz w:val="21"/>
                      <w:szCs w:val="21"/>
                    </w:rPr>
                    <w:t>沭阳县城东污水处理厂</w:t>
                  </w:r>
                  <w:r>
                    <w:rPr>
                      <w:rFonts w:eastAsia="宋体"/>
                      <w:bCs/>
                      <w:color w:val="000000"/>
                      <w:sz w:val="21"/>
                      <w:szCs w:val="21"/>
                    </w:rPr>
                    <w:t>；雨水经有组织收集后排入市政雨水管网</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供电</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napToGrid w:val="0"/>
                      <w:sz w:val="21"/>
                      <w:szCs w:val="21"/>
                    </w:rPr>
                    <w:t>6万度/年；由市政供电所供给</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供暖</w:t>
                  </w:r>
                </w:p>
              </w:tc>
              <w:tc>
                <w:tcPr>
                  <w:tcW w:w="5979" w:type="dxa"/>
                  <w:gridSpan w:val="2"/>
                  <w:vAlign w:val="center"/>
                </w:tcPr>
                <w:p>
                  <w:pPr>
                    <w:widowControl w:val="0"/>
                    <w:adjustRightInd w:val="0"/>
                    <w:snapToGrid w:val="0"/>
                    <w:spacing w:line="240" w:lineRule="auto"/>
                    <w:jc w:val="center"/>
                    <w:rPr>
                      <w:rFonts w:eastAsia="宋体"/>
                      <w:snapToGrid w:val="0"/>
                      <w:sz w:val="21"/>
                      <w:szCs w:val="21"/>
                    </w:rPr>
                  </w:pPr>
                  <w:r>
                    <w:rPr>
                      <w:rFonts w:eastAsia="宋体"/>
                      <w:snapToGrid w:val="0"/>
                      <w:sz w:val="21"/>
                      <w:szCs w:val="21"/>
                    </w:rPr>
                    <w:t>采用空调供热</w:t>
                  </w:r>
                </w:p>
              </w:tc>
              <w:tc>
                <w:tcPr>
                  <w:tcW w:w="859" w:type="dxa"/>
                  <w:vAlign w:val="center"/>
                </w:tcPr>
                <w:p>
                  <w:pPr>
                    <w:widowControl w:val="0"/>
                    <w:adjustRightInd w:val="0"/>
                    <w:snapToGrid w:val="0"/>
                    <w:spacing w:line="240" w:lineRule="auto"/>
                    <w:jc w:val="center"/>
                    <w:rPr>
                      <w:rFonts w:eastAsia="宋体"/>
                      <w:snapToGrid w:val="0"/>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通信</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通信线路引自附近通信网络</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环保</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噪声</w:t>
                  </w:r>
                </w:p>
              </w:tc>
              <w:tc>
                <w:tcPr>
                  <w:tcW w:w="5979" w:type="dxa"/>
                  <w:gridSpan w:val="2"/>
                  <w:vAlign w:val="center"/>
                </w:tcPr>
                <w:p>
                  <w:pPr>
                    <w:widowControl w:val="0"/>
                    <w:adjustRightInd w:val="0"/>
                    <w:snapToGrid w:val="0"/>
                    <w:spacing w:line="240" w:lineRule="auto"/>
                    <w:jc w:val="center"/>
                    <w:rPr>
                      <w:rFonts w:eastAsia="宋体"/>
                      <w:sz w:val="21"/>
                      <w:szCs w:val="21"/>
                    </w:rPr>
                  </w:pPr>
                  <w:r>
                    <w:rPr>
                      <w:rFonts w:eastAsia="宋体"/>
                      <w:sz w:val="21"/>
                      <w:szCs w:val="21"/>
                    </w:rPr>
                    <w:t>注油采用封闭式操作、噪声设备采用隔音、减震等措施，并在出入口设置禁鸣标志及减速带</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废气</w:t>
                  </w:r>
                </w:p>
              </w:tc>
              <w:tc>
                <w:tcPr>
                  <w:tcW w:w="1718" w:type="dxa"/>
                  <w:vAlign w:val="center"/>
                </w:tcPr>
                <w:p>
                  <w:pPr>
                    <w:widowControl w:val="0"/>
                    <w:adjustRightInd w:val="0"/>
                    <w:snapToGrid w:val="0"/>
                    <w:spacing w:line="240" w:lineRule="auto"/>
                    <w:jc w:val="center"/>
                    <w:rPr>
                      <w:rFonts w:eastAsia="宋体"/>
                      <w:sz w:val="21"/>
                      <w:szCs w:val="21"/>
                    </w:rPr>
                  </w:pPr>
                  <w:r>
                    <w:rPr>
                      <w:rFonts w:eastAsia="宋体"/>
                      <w:sz w:val="21"/>
                      <w:szCs w:val="21"/>
                    </w:rPr>
                    <w:t>卸油、加油</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sz w:val="21"/>
                      <w:szCs w:val="21"/>
                    </w:rPr>
                    <w:t>设油气回收系统</w:t>
                  </w:r>
                  <w:r>
                    <w:rPr>
                      <w:rFonts w:hint="eastAsia" w:eastAsia="宋体"/>
                      <w:sz w:val="21"/>
                      <w:szCs w:val="21"/>
                    </w:rPr>
                    <w:t>2</w:t>
                  </w:r>
                  <w:r>
                    <w:rPr>
                      <w:rFonts w:eastAsia="宋体"/>
                      <w:sz w:val="21"/>
                      <w:szCs w:val="21"/>
                    </w:rPr>
                    <w:t>套（卸油油气回收系统1套和加油油气回收系统</w:t>
                  </w:r>
                  <w:r>
                    <w:rPr>
                      <w:rFonts w:hint="eastAsia" w:eastAsia="宋体"/>
                      <w:sz w:val="21"/>
                      <w:szCs w:val="21"/>
                    </w:rPr>
                    <w:t>1</w:t>
                  </w:r>
                  <w:r>
                    <w:rPr>
                      <w:rFonts w:eastAsia="宋体"/>
                      <w:sz w:val="21"/>
                      <w:szCs w:val="21"/>
                    </w:rPr>
                    <w:t>套）</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Merge w:val="continue"/>
                  <w:vAlign w:val="center"/>
                </w:tcPr>
                <w:p>
                  <w:pPr>
                    <w:widowControl w:val="0"/>
                    <w:adjustRightInd w:val="0"/>
                    <w:snapToGrid w:val="0"/>
                    <w:spacing w:line="240" w:lineRule="auto"/>
                    <w:jc w:val="center"/>
                    <w:rPr>
                      <w:rFonts w:eastAsia="宋体"/>
                      <w:spacing w:val="-6"/>
                      <w:sz w:val="21"/>
                      <w:szCs w:val="21"/>
                    </w:rPr>
                  </w:pPr>
                </w:p>
              </w:tc>
              <w:tc>
                <w:tcPr>
                  <w:tcW w:w="1718" w:type="dxa"/>
                  <w:vAlign w:val="center"/>
                </w:tcPr>
                <w:p>
                  <w:pPr>
                    <w:widowControl w:val="0"/>
                    <w:adjustRightInd w:val="0"/>
                    <w:snapToGrid w:val="0"/>
                    <w:spacing w:line="240" w:lineRule="auto"/>
                    <w:jc w:val="center"/>
                    <w:rPr>
                      <w:rFonts w:eastAsia="宋体"/>
                      <w:sz w:val="21"/>
                      <w:szCs w:val="21"/>
                    </w:rPr>
                  </w:pPr>
                  <w:r>
                    <w:rPr>
                      <w:rFonts w:eastAsia="宋体"/>
                      <w:sz w:val="21"/>
                      <w:szCs w:val="21"/>
                    </w:rPr>
                    <w:t>汽车尾气</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bCs/>
                      <w:sz w:val="21"/>
                      <w:szCs w:val="21"/>
                    </w:rPr>
                    <w:t>自然扩散</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废水</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bCs/>
                      <w:sz w:val="21"/>
                      <w:szCs w:val="21"/>
                    </w:rPr>
                    <w:t>化粪池一座；隔油池一座</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固废</w:t>
                  </w:r>
                </w:p>
              </w:tc>
              <w:tc>
                <w:tcPr>
                  <w:tcW w:w="1718"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生活垃圾由垃圾桶集中收集，环卫部门定期清运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continue"/>
                  <w:vAlign w:val="center"/>
                </w:tcPr>
                <w:p>
                  <w:pPr>
                    <w:widowControl w:val="0"/>
                    <w:adjustRightInd w:val="0"/>
                    <w:snapToGrid w:val="0"/>
                    <w:spacing w:line="240" w:lineRule="auto"/>
                    <w:jc w:val="center"/>
                    <w:rPr>
                      <w:rFonts w:eastAsia="宋体"/>
                      <w:spacing w:val="-6"/>
                      <w:sz w:val="21"/>
                      <w:szCs w:val="21"/>
                    </w:rPr>
                  </w:pPr>
                </w:p>
              </w:tc>
              <w:tc>
                <w:tcPr>
                  <w:tcW w:w="1718"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危险废物</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z w:val="21"/>
                      <w:szCs w:val="21"/>
                    </w:rPr>
                    <w:t>油罐清洗委托具有危险废物接收资质的专业第三方清洗单位清洗，产生的废液及罐渣由清洗单位清洗后即时直接清运；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highlight w:val="yellow"/>
                    </w:rPr>
                  </w:pPr>
                  <w:r>
                    <w:rPr>
                      <w:rFonts w:eastAsia="宋体"/>
                      <w:spacing w:val="-6"/>
                      <w:sz w:val="21"/>
                      <w:szCs w:val="21"/>
                    </w:rPr>
                    <w:t>防渗措施</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项目储油罐属于地埋式储罐，储罐为内钢外玻璃纤维增强塑料双层油罐，底部及池壁采用防渗钢筋混凝土整体浇筑，渗透系数不大于1.0×10</w:t>
                  </w:r>
                  <w:r>
                    <w:rPr>
                      <w:rFonts w:eastAsia="宋体"/>
                      <w:spacing w:val="4"/>
                      <w:sz w:val="21"/>
                      <w:szCs w:val="21"/>
                      <w:vertAlign w:val="superscript"/>
                    </w:rPr>
                    <w:t>-7</w:t>
                  </w:r>
                  <w:r>
                    <w:rPr>
                      <w:rFonts w:eastAsia="宋体"/>
                      <w:spacing w:val="4"/>
                      <w:sz w:val="21"/>
                      <w:szCs w:val="21"/>
                    </w:rPr>
                    <w:t>cm/s</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绿化</w:t>
                  </w:r>
                </w:p>
              </w:tc>
              <w:tc>
                <w:tcPr>
                  <w:tcW w:w="5979" w:type="dxa"/>
                  <w:gridSpan w:val="2"/>
                  <w:vAlign w:val="center"/>
                </w:tcPr>
                <w:p>
                  <w:pPr>
                    <w:widowControl w:val="0"/>
                    <w:adjustRightInd w:val="0"/>
                    <w:snapToGrid w:val="0"/>
                    <w:spacing w:line="240" w:lineRule="auto"/>
                    <w:jc w:val="center"/>
                    <w:rPr>
                      <w:rFonts w:eastAsia="宋体"/>
                      <w:color w:val="FF0000"/>
                      <w:spacing w:val="4"/>
                      <w:sz w:val="21"/>
                      <w:szCs w:val="21"/>
                    </w:rPr>
                  </w:pPr>
                  <w:r>
                    <w:rPr>
                      <w:rFonts w:eastAsia="宋体"/>
                      <w:spacing w:val="4"/>
                      <w:sz w:val="21"/>
                      <w:szCs w:val="21"/>
                    </w:rPr>
                    <w:t>绿化面积</w:t>
                  </w:r>
                  <w:r>
                    <w:rPr>
                      <w:rFonts w:hint="eastAsia" w:eastAsia="宋体"/>
                      <w:spacing w:val="4"/>
                      <w:sz w:val="21"/>
                      <w:szCs w:val="21"/>
                    </w:rPr>
                    <w:t>180</w:t>
                  </w:r>
                  <w:r>
                    <w:rPr>
                      <w:rFonts w:eastAsia="宋体"/>
                      <w:spacing w:val="4"/>
                      <w:sz w:val="21"/>
                      <w:szCs w:val="21"/>
                    </w:rPr>
                    <w:t>m</w:t>
                  </w:r>
                  <w:r>
                    <w:rPr>
                      <w:rFonts w:eastAsia="宋体"/>
                      <w:spacing w:val="4"/>
                      <w:sz w:val="21"/>
                      <w:szCs w:val="21"/>
                      <w:vertAlign w:val="superscript"/>
                    </w:rPr>
                    <w:t>2</w:t>
                  </w:r>
                </w:p>
              </w:tc>
              <w:tc>
                <w:tcPr>
                  <w:tcW w:w="859" w:type="dxa"/>
                  <w:vAlign w:val="center"/>
                </w:tcPr>
                <w:p>
                  <w:pPr>
                    <w:widowControl w:val="0"/>
                    <w:adjustRightInd w:val="0"/>
                    <w:snapToGrid w:val="0"/>
                    <w:spacing w:line="240" w:lineRule="auto"/>
                    <w:jc w:val="center"/>
                    <w:rPr>
                      <w:rFonts w:eastAsia="宋体"/>
                      <w:color w:val="FF0000"/>
                      <w:spacing w:val="4"/>
                      <w:sz w:val="21"/>
                      <w:szCs w:val="21"/>
                    </w:rPr>
                  </w:pPr>
                </w:p>
              </w:tc>
            </w:tr>
          </w:tbl>
          <w:p>
            <w:pPr>
              <w:snapToGrid w:val="0"/>
              <w:spacing w:line="500" w:lineRule="exact"/>
              <w:ind w:firstLine="480" w:firstLineChars="200"/>
              <w:rPr>
                <w:rFonts w:eastAsia="宋体"/>
                <w:sz w:val="24"/>
                <w:szCs w:val="24"/>
              </w:rPr>
            </w:pPr>
            <w:r>
              <w:rPr>
                <w:rFonts w:eastAsia="宋体"/>
                <w:sz w:val="24"/>
                <w:szCs w:val="24"/>
              </w:rPr>
              <w:t>（3）主要生产设备</w:t>
            </w:r>
          </w:p>
          <w:p>
            <w:pPr>
              <w:snapToGrid w:val="0"/>
              <w:spacing w:line="500" w:lineRule="exact"/>
              <w:ind w:firstLine="480" w:firstLineChars="200"/>
              <w:rPr>
                <w:rFonts w:eastAsia="宋体"/>
                <w:sz w:val="24"/>
                <w:szCs w:val="24"/>
              </w:rPr>
            </w:pPr>
            <w:r>
              <w:rPr>
                <w:rFonts w:eastAsia="宋体"/>
                <w:sz w:val="24"/>
                <w:szCs w:val="24"/>
              </w:rPr>
              <w:t>项目主要生产设备见表1-3。</w:t>
            </w:r>
          </w:p>
          <w:p>
            <w:pPr>
              <w:snapToGrid w:val="0"/>
              <w:spacing w:line="500" w:lineRule="exact"/>
              <w:ind w:firstLine="482" w:firstLineChars="200"/>
              <w:jc w:val="center"/>
              <w:rPr>
                <w:rFonts w:eastAsia="宋体"/>
                <w:b/>
                <w:sz w:val="24"/>
                <w:szCs w:val="24"/>
              </w:rPr>
            </w:pPr>
            <w:r>
              <w:rPr>
                <w:rFonts w:eastAsia="宋体"/>
                <w:b/>
                <w:sz w:val="24"/>
                <w:szCs w:val="24"/>
              </w:rPr>
              <w:t>表1-3 主要生产设备表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26"/>
              <w:gridCol w:w="2410"/>
              <w:gridCol w:w="709"/>
              <w:gridCol w:w="850"/>
              <w:gridCol w:w="20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  称</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规格型号</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203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26"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2410"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r>
                    <w:rPr>
                      <w:rFonts w:eastAsia="宋体"/>
                      <w:sz w:val="21"/>
                      <w:szCs w:val="21"/>
                    </w:rPr>
                    <w:t>枪加油机</w:t>
                  </w:r>
                </w:p>
              </w:tc>
              <w:tc>
                <w:tcPr>
                  <w:tcW w:w="709"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850"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16</w:t>
                  </w:r>
                  <w:r>
                    <w:rPr>
                      <w:rFonts w:eastAsia="宋体"/>
                      <w:sz w:val="21"/>
                      <w:szCs w:val="21"/>
                    </w:rPr>
                    <w:t>枪</w:t>
                  </w:r>
                  <w:r>
                    <w:rPr>
                      <w:rFonts w:hint="eastAsia" w:eastAsia="宋体"/>
                      <w:sz w:val="21"/>
                      <w:szCs w:val="21"/>
                      <w:lang w:eastAsia="zh-CN"/>
                    </w:rPr>
                    <w:t>（汽油</w:t>
                  </w:r>
                  <w:r>
                    <w:rPr>
                      <w:rFonts w:hint="eastAsia" w:eastAsia="宋体"/>
                      <w:sz w:val="21"/>
                      <w:szCs w:val="21"/>
                      <w:lang w:val="en-US" w:eastAsia="zh-CN"/>
                    </w:rPr>
                    <w:t>12枪，柴油4枪</w:t>
                  </w:r>
                  <w:r>
                    <w:rPr>
                      <w:rFonts w:hint="eastAsia" w:eastAsia="宋体"/>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26"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柴油罐</w:t>
                  </w:r>
                </w:p>
              </w:tc>
              <w:tc>
                <w:tcPr>
                  <w:tcW w:w="2410"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709"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lang w:val="en-US" w:eastAsia="zh-CN"/>
                    </w:rPr>
                    <w:t>1</w:t>
                  </w:r>
                </w:p>
              </w:tc>
              <w:tc>
                <w:tcPr>
                  <w:tcW w:w="850"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035"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709" w:type="dxa"/>
                  <w:tcBorders>
                    <w:right w:val="single" w:color="auto" w:sz="2" w:space="0"/>
                  </w:tcBorders>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hint="eastAsia" w:eastAsia="宋体"/>
                      <w:sz w:val="21"/>
                      <w:szCs w:val="21"/>
                      <w:lang w:val="en-US" w:eastAsia="zh-CN"/>
                    </w:rPr>
                    <w:t>3</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03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电子液位仪</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带有高液位报警功能</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潜油泵</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200L/min，0.75HP</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一次油气回收系统</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卸油区</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二次油气回收系统</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加油岛、油枪</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8</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备用发电机</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24kw</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bl>
          <w:p>
            <w:pPr>
              <w:snapToGrid w:val="0"/>
              <w:spacing w:line="500" w:lineRule="exact"/>
              <w:ind w:firstLine="480" w:firstLineChars="200"/>
              <w:rPr>
                <w:rFonts w:eastAsia="宋体"/>
                <w:sz w:val="24"/>
                <w:szCs w:val="24"/>
              </w:rPr>
            </w:pPr>
            <w:r>
              <w:rPr>
                <w:rFonts w:eastAsia="宋体"/>
                <w:sz w:val="24"/>
                <w:szCs w:val="24"/>
              </w:rPr>
              <w:t>（4）主要原辅材料及消耗</w:t>
            </w:r>
          </w:p>
          <w:p>
            <w:pPr>
              <w:snapToGrid w:val="0"/>
              <w:spacing w:line="500" w:lineRule="exact"/>
              <w:ind w:firstLine="480" w:firstLineChars="200"/>
              <w:rPr>
                <w:rFonts w:eastAsia="宋体"/>
                <w:sz w:val="24"/>
                <w:szCs w:val="24"/>
              </w:rPr>
            </w:pPr>
            <w:r>
              <w:rPr>
                <w:rFonts w:eastAsia="宋体"/>
                <w:sz w:val="24"/>
                <w:szCs w:val="24"/>
              </w:rPr>
              <w:t>项目主要原辅材料及消耗见表1-4。</w:t>
            </w:r>
          </w:p>
          <w:p>
            <w:pPr>
              <w:snapToGrid w:val="0"/>
              <w:spacing w:line="500" w:lineRule="exact"/>
              <w:ind w:firstLine="482" w:firstLineChars="200"/>
              <w:jc w:val="center"/>
              <w:rPr>
                <w:rFonts w:eastAsia="宋体"/>
                <w:b/>
                <w:sz w:val="24"/>
                <w:szCs w:val="24"/>
              </w:rPr>
            </w:pPr>
            <w:r>
              <w:rPr>
                <w:rFonts w:eastAsia="宋体"/>
                <w:b/>
                <w:sz w:val="24"/>
                <w:szCs w:val="24"/>
              </w:rPr>
              <w:t>表1-4 项目主要原辅材料及消耗一览表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62"/>
              <w:gridCol w:w="1417"/>
              <w:gridCol w:w="1418"/>
              <w:gridCol w:w="1843"/>
              <w:gridCol w:w="2126"/>
              <w:gridCol w:w="132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2"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物料名称</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周转量</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来源及运输方式</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储存位置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3000</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储油罐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储油罐</w:t>
                  </w:r>
                </w:p>
              </w:tc>
            </w:tr>
          </w:tbl>
          <w:p>
            <w:pPr>
              <w:adjustRightInd w:val="0"/>
              <w:snapToGrid w:val="0"/>
              <w:spacing w:line="500" w:lineRule="exact"/>
              <w:ind w:firstLine="480" w:firstLineChars="200"/>
              <w:rPr>
                <w:rFonts w:eastAsia="宋体"/>
                <w:sz w:val="24"/>
                <w:szCs w:val="24"/>
              </w:rPr>
            </w:pPr>
            <w:r>
              <w:rPr>
                <w:rFonts w:eastAsia="宋体"/>
                <w:sz w:val="24"/>
                <w:szCs w:val="24"/>
              </w:rPr>
              <w:t>本项目主要原辅材料理化性质、毒性毒理及危险特性见表1-5。</w:t>
            </w:r>
          </w:p>
          <w:p>
            <w:pPr>
              <w:snapToGrid w:val="0"/>
              <w:spacing w:line="500" w:lineRule="exact"/>
              <w:ind w:firstLine="482" w:firstLineChars="200"/>
              <w:jc w:val="center"/>
              <w:rPr>
                <w:rFonts w:eastAsia="宋体"/>
                <w:b/>
                <w:sz w:val="24"/>
                <w:szCs w:val="24"/>
              </w:rPr>
            </w:pPr>
            <w:r>
              <w:rPr>
                <w:rFonts w:eastAsia="宋体"/>
                <w:b/>
                <w:sz w:val="24"/>
                <w:szCs w:val="24"/>
              </w:rPr>
              <w:t>表1-5 主要原辅材料理化性质、毒性毒理及危险特性</w:t>
            </w:r>
          </w:p>
          <w:tbl>
            <w:tblPr>
              <w:tblStyle w:val="28"/>
              <w:tblW w:w="914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955"/>
              <w:gridCol w:w="992"/>
              <w:gridCol w:w="3108"/>
              <w:gridCol w:w="24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名称</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理化性质</w:t>
                  </w:r>
                </w:p>
              </w:tc>
              <w:tc>
                <w:tcPr>
                  <w:tcW w:w="99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毒理性质</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急救与救护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汽油</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分子式：C4H10–C12H26，沸点(℃)：38-204℃，闪点：&lt;23℃，相对密度（水＝1）：0.70～0.79，相对密度（空气=1）：3.5。无色或淡黄色易挥发液体，具有特殊臭味。不溶于水、易溶于苯、二硫化碳、醇、易溶于脂肪。爆炸极限为1.0%～6%。</w:t>
                  </w:r>
                </w:p>
              </w:tc>
              <w:tc>
                <w:tcPr>
                  <w:tcW w:w="99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LC50：67000mg/kg（小鼠经口）</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皮肤接触：立即脱去衣着，用大量水冲洗至少10分钟。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眼睛接触：立即用大量水冲洗至少10分钟，敷1%的氯霉素眼膏。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吸入：立即脱离现场至空气新鲜处，保暖并休息。必要时就医。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食入：误服者立即漱口，保暖，饮水。就医。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柴油</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分子式：C4H10~C12H26，沸点：200～350℃，闪点：45～55℃，相对密度（水＝1）：0.87～0.90。稍有粘性的棕色液体。不溶于水，易溶于苯、二硫化碳、醇，易溶于脂肪。爆炸极限为0.5%～4.1%。</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属低毒类</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皮肤接触可为主要吸收途径，可致急性肾脏损害。柴油可引起接触性皮炎、油性痤疮。吸入其雾滴或液体呛入可引起吸入性肺炎。能经胎盘进入胎儿血中。柴油废气可引起眼、鼻刺激症状、头晕及头痛。</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皮肤接触：立即脱去衣着，用肥皂水和清水彻底冲洗皮肤，就医。</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眼睛接触：提起眼睑，用流动清水或生理盐水冲洗，就医。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吸入：迅速脱离现场至空气新鲜处，保持呼吸道通畅。如呼吸困难，给输氧。如呼吸停止，立即进行人工呼吸，就医。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食入：尽快彻底洗胃，就医。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灭火方法：雾状水、干粉、泡沫、二氧化碳、砂土。</w:t>
                  </w:r>
                </w:p>
              </w:tc>
            </w:tr>
          </w:tbl>
          <w:p>
            <w:pPr>
              <w:snapToGrid w:val="0"/>
              <w:spacing w:line="500" w:lineRule="exact"/>
              <w:ind w:firstLine="482" w:firstLineChars="200"/>
              <w:rPr>
                <w:rFonts w:eastAsia="宋体"/>
                <w:b/>
                <w:sz w:val="24"/>
                <w:szCs w:val="24"/>
              </w:rPr>
            </w:pPr>
            <w:r>
              <w:rPr>
                <w:rFonts w:eastAsia="宋体"/>
                <w:b/>
                <w:sz w:val="24"/>
                <w:szCs w:val="24"/>
              </w:rPr>
              <w:t>3、公用工程</w:t>
            </w:r>
          </w:p>
          <w:p>
            <w:pPr>
              <w:adjustRightInd w:val="0"/>
              <w:snapToGrid w:val="0"/>
              <w:spacing w:line="500" w:lineRule="exact"/>
              <w:ind w:firstLine="480" w:firstLineChars="200"/>
              <w:rPr>
                <w:rFonts w:eastAsia="宋体"/>
                <w:sz w:val="24"/>
                <w:szCs w:val="24"/>
              </w:rPr>
            </w:pPr>
            <w:r>
              <w:rPr>
                <w:rFonts w:eastAsia="宋体"/>
                <w:sz w:val="24"/>
                <w:szCs w:val="24"/>
              </w:rPr>
              <w:t>（1）给水</w:t>
            </w:r>
          </w:p>
          <w:p>
            <w:pPr>
              <w:adjustRightInd w:val="0"/>
              <w:snapToGrid w:val="0"/>
              <w:spacing w:line="500" w:lineRule="exact"/>
              <w:ind w:firstLine="480" w:firstLineChars="200"/>
              <w:rPr>
                <w:rFonts w:eastAsia="宋体"/>
                <w:sz w:val="24"/>
                <w:szCs w:val="24"/>
              </w:rPr>
            </w:pPr>
            <w:r>
              <w:rPr>
                <w:rFonts w:eastAsia="宋体"/>
                <w:sz w:val="24"/>
                <w:szCs w:val="24"/>
              </w:rPr>
              <w:t>项目投产营运后主要用水为生活用水，项目用水由市政管网供给。</w:t>
            </w:r>
          </w:p>
          <w:p>
            <w:pPr>
              <w:adjustRightInd w:val="0"/>
              <w:snapToGrid w:val="0"/>
              <w:spacing w:line="500" w:lineRule="exact"/>
              <w:ind w:firstLine="480" w:firstLineChars="200"/>
              <w:rPr>
                <w:rFonts w:eastAsia="宋体"/>
                <w:sz w:val="24"/>
                <w:szCs w:val="24"/>
              </w:rPr>
            </w:pPr>
            <w:r>
              <w:rPr>
                <w:rFonts w:eastAsia="宋体"/>
                <w:sz w:val="24"/>
                <w:szCs w:val="24"/>
              </w:rPr>
              <w:t>（2）排水</w:t>
            </w:r>
          </w:p>
          <w:p>
            <w:pPr>
              <w:adjustRightInd w:val="0"/>
              <w:snapToGrid w:val="0"/>
              <w:spacing w:line="500" w:lineRule="exact"/>
              <w:ind w:firstLine="480" w:firstLineChars="200"/>
              <w:rPr>
                <w:rFonts w:eastAsia="宋体"/>
                <w:sz w:val="24"/>
                <w:szCs w:val="24"/>
              </w:rPr>
            </w:pPr>
            <w:r>
              <w:rPr>
                <w:rFonts w:eastAsia="宋体"/>
                <w:sz w:val="24"/>
                <w:szCs w:val="24"/>
              </w:rPr>
              <w:t>站内采取雨污分流制，雨水经雨水管网收集后进入城市雨水管网，项目生活污水经化粪池预处理后排入市政污水管网后进入</w:t>
            </w:r>
            <w:r>
              <w:rPr>
                <w:rFonts w:hint="eastAsia" w:eastAsia="宋体"/>
                <w:bCs/>
                <w:sz w:val="24"/>
                <w:szCs w:val="24"/>
              </w:rPr>
              <w:t>沭阳县城东污水处理厂</w:t>
            </w:r>
            <w:r>
              <w:rPr>
                <w:rFonts w:eastAsia="宋体"/>
                <w:sz w:val="24"/>
                <w:szCs w:val="24"/>
              </w:rPr>
              <w:t>处理。</w:t>
            </w:r>
          </w:p>
          <w:p>
            <w:pPr>
              <w:adjustRightInd w:val="0"/>
              <w:snapToGrid w:val="0"/>
              <w:spacing w:line="500" w:lineRule="exact"/>
              <w:ind w:firstLine="480" w:firstLineChars="200"/>
              <w:rPr>
                <w:rFonts w:eastAsia="宋体"/>
                <w:sz w:val="24"/>
                <w:szCs w:val="24"/>
              </w:rPr>
            </w:pPr>
            <w:r>
              <w:rPr>
                <w:rFonts w:eastAsia="宋体"/>
                <w:sz w:val="24"/>
                <w:szCs w:val="24"/>
              </w:rPr>
              <w:t>（3）供电</w:t>
            </w:r>
          </w:p>
          <w:p>
            <w:pPr>
              <w:adjustRightInd w:val="0"/>
              <w:snapToGrid w:val="0"/>
              <w:spacing w:line="500" w:lineRule="exact"/>
              <w:ind w:firstLine="480" w:firstLineChars="200"/>
              <w:rPr>
                <w:rFonts w:eastAsia="宋体"/>
                <w:sz w:val="24"/>
                <w:szCs w:val="24"/>
              </w:rPr>
            </w:pPr>
            <w:r>
              <w:rPr>
                <w:rFonts w:eastAsia="宋体"/>
                <w:sz w:val="24"/>
                <w:szCs w:val="24"/>
              </w:rPr>
              <w:t>项目用电由当地供电部门统一供给。用于设备运行、照明等。站区配套一台功率为24kw 的柴油发电机作为备用电源。</w:t>
            </w:r>
          </w:p>
          <w:p>
            <w:pPr>
              <w:adjustRightInd w:val="0"/>
              <w:snapToGrid w:val="0"/>
              <w:spacing w:line="500" w:lineRule="exact"/>
              <w:ind w:firstLine="480" w:firstLineChars="200"/>
              <w:rPr>
                <w:rFonts w:eastAsia="宋体"/>
                <w:sz w:val="24"/>
                <w:szCs w:val="24"/>
              </w:rPr>
            </w:pPr>
            <w:r>
              <w:rPr>
                <w:rFonts w:eastAsia="宋体"/>
                <w:sz w:val="24"/>
                <w:szCs w:val="24"/>
              </w:rPr>
              <w:t>（4）消防</w:t>
            </w:r>
          </w:p>
          <w:p>
            <w:pPr>
              <w:adjustRightInd w:val="0"/>
              <w:snapToGrid w:val="0"/>
              <w:spacing w:line="500" w:lineRule="exact"/>
              <w:ind w:firstLine="480" w:firstLineChars="200"/>
              <w:rPr>
                <w:rFonts w:eastAsia="宋体"/>
                <w:sz w:val="24"/>
                <w:szCs w:val="24"/>
              </w:rPr>
            </w:pPr>
            <w:r>
              <w:rPr>
                <w:rFonts w:eastAsia="宋体"/>
                <w:sz w:val="24"/>
                <w:szCs w:val="24"/>
              </w:rPr>
              <w:t>本站设置4kg手提式干粉灭火器</w:t>
            </w:r>
            <w:r>
              <w:rPr>
                <w:rFonts w:hint="eastAsia" w:eastAsia="宋体"/>
                <w:sz w:val="24"/>
                <w:szCs w:val="24"/>
              </w:rPr>
              <w:t>13</w:t>
            </w:r>
            <w:r>
              <w:rPr>
                <w:rFonts w:eastAsia="宋体"/>
                <w:sz w:val="24"/>
                <w:szCs w:val="24"/>
              </w:rPr>
              <w:t>具，35kg干粉灭火器2具，</w:t>
            </w:r>
            <w:r>
              <w:rPr>
                <w:rFonts w:hint="eastAsia" w:eastAsia="宋体"/>
                <w:sz w:val="24"/>
                <w:szCs w:val="24"/>
              </w:rPr>
              <w:t>3</w:t>
            </w:r>
            <w:r>
              <w:rPr>
                <w:rFonts w:eastAsia="宋体"/>
                <w:sz w:val="24"/>
                <w:szCs w:val="24"/>
              </w:rPr>
              <w:t>m</w:t>
            </w:r>
            <w:r>
              <w:rPr>
                <w:rFonts w:eastAsia="宋体"/>
                <w:sz w:val="24"/>
                <w:szCs w:val="24"/>
                <w:vertAlign w:val="superscript"/>
              </w:rPr>
              <w:t>3</w:t>
            </w:r>
            <w:r>
              <w:rPr>
                <w:rFonts w:eastAsia="宋体"/>
                <w:sz w:val="24"/>
                <w:szCs w:val="24"/>
              </w:rPr>
              <w:t>消防砂箱1个。</w:t>
            </w:r>
          </w:p>
          <w:p>
            <w:pPr>
              <w:snapToGrid w:val="0"/>
              <w:spacing w:line="500" w:lineRule="exact"/>
              <w:ind w:firstLine="482" w:firstLineChars="200"/>
              <w:rPr>
                <w:rFonts w:eastAsia="宋体"/>
                <w:b/>
                <w:sz w:val="24"/>
                <w:szCs w:val="24"/>
              </w:rPr>
            </w:pPr>
            <w:r>
              <w:rPr>
                <w:rFonts w:eastAsia="宋体"/>
                <w:b/>
                <w:sz w:val="24"/>
                <w:szCs w:val="24"/>
              </w:rPr>
              <w:t>4、劳动定员及工作制</w:t>
            </w:r>
          </w:p>
          <w:p>
            <w:pPr>
              <w:adjustRightInd w:val="0"/>
              <w:snapToGrid w:val="0"/>
              <w:spacing w:line="500" w:lineRule="exact"/>
              <w:ind w:firstLine="480" w:firstLineChars="200"/>
              <w:rPr>
                <w:rFonts w:eastAsia="宋体"/>
                <w:sz w:val="24"/>
                <w:szCs w:val="24"/>
              </w:rPr>
            </w:pPr>
            <w:r>
              <w:rPr>
                <w:rFonts w:eastAsia="宋体"/>
                <w:sz w:val="24"/>
                <w:szCs w:val="24"/>
              </w:rPr>
              <w:t>加油站配备工作人员</w:t>
            </w:r>
            <w:r>
              <w:rPr>
                <w:rFonts w:hint="eastAsia" w:eastAsia="宋体"/>
                <w:sz w:val="24"/>
                <w:szCs w:val="24"/>
              </w:rPr>
              <w:t>7</w:t>
            </w:r>
            <w:r>
              <w:rPr>
                <w:rFonts w:eastAsia="宋体"/>
                <w:sz w:val="24"/>
                <w:szCs w:val="24"/>
              </w:rPr>
              <w:t>人，实行三班制，每班工作8 小时，年运营时间为365 天。</w:t>
            </w:r>
          </w:p>
          <w:p>
            <w:pPr>
              <w:snapToGrid w:val="0"/>
              <w:spacing w:line="500" w:lineRule="exact"/>
              <w:ind w:firstLine="482" w:firstLineChars="200"/>
              <w:rPr>
                <w:rFonts w:eastAsia="宋体"/>
                <w:b/>
                <w:sz w:val="24"/>
                <w:szCs w:val="24"/>
              </w:rPr>
            </w:pPr>
            <w:r>
              <w:rPr>
                <w:rFonts w:eastAsia="宋体"/>
                <w:b/>
                <w:sz w:val="24"/>
                <w:szCs w:val="24"/>
              </w:rPr>
              <w:t>5、环保投资</w:t>
            </w:r>
          </w:p>
          <w:p>
            <w:pPr>
              <w:adjustRightInd w:val="0"/>
              <w:snapToGrid w:val="0"/>
              <w:spacing w:line="500" w:lineRule="exact"/>
              <w:ind w:firstLine="480" w:firstLineChars="200"/>
              <w:rPr>
                <w:rFonts w:eastAsia="宋体"/>
                <w:sz w:val="24"/>
                <w:szCs w:val="24"/>
              </w:rPr>
            </w:pPr>
            <w:r>
              <w:rPr>
                <w:rFonts w:eastAsia="宋体"/>
                <w:sz w:val="24"/>
                <w:szCs w:val="24"/>
              </w:rPr>
              <w:t>项目环保投资总额计</w:t>
            </w:r>
            <w:r>
              <w:rPr>
                <w:rFonts w:hint="eastAsia" w:eastAsia="宋体"/>
                <w:sz w:val="24"/>
                <w:szCs w:val="24"/>
              </w:rPr>
              <w:t>40</w:t>
            </w:r>
            <w:r>
              <w:rPr>
                <w:rFonts w:eastAsia="宋体"/>
                <w:sz w:val="24"/>
                <w:szCs w:val="24"/>
              </w:rPr>
              <w:t>万元，占总投资的</w:t>
            </w:r>
            <w:r>
              <w:rPr>
                <w:rFonts w:hint="eastAsia" w:eastAsia="宋体"/>
                <w:sz w:val="24"/>
                <w:szCs w:val="24"/>
              </w:rPr>
              <w:t>8.0</w:t>
            </w:r>
            <w:r>
              <w:rPr>
                <w:rFonts w:eastAsia="宋体"/>
                <w:sz w:val="24"/>
                <w:szCs w:val="24"/>
              </w:rPr>
              <w:t>%，具体环保投资概算见表1-6。</w:t>
            </w:r>
          </w:p>
          <w:p>
            <w:pPr>
              <w:adjustRightInd w:val="0"/>
              <w:snapToGrid w:val="0"/>
              <w:spacing w:line="500" w:lineRule="exact"/>
              <w:ind w:firstLine="482" w:firstLineChars="200"/>
              <w:jc w:val="center"/>
              <w:rPr>
                <w:rFonts w:eastAsia="宋体"/>
                <w:b/>
                <w:sz w:val="24"/>
                <w:szCs w:val="24"/>
              </w:rPr>
            </w:pPr>
            <w:r>
              <w:rPr>
                <w:rFonts w:eastAsia="宋体"/>
                <w:b/>
                <w:sz w:val="24"/>
                <w:szCs w:val="24"/>
              </w:rPr>
              <w:t>表1-6 项目环保措施投资清单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2"/>
              <w:gridCol w:w="810"/>
              <w:gridCol w:w="1847"/>
              <w:gridCol w:w="992"/>
              <w:gridCol w:w="1065"/>
              <w:gridCol w:w="2195"/>
              <w:gridCol w:w="90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vAlign w:val="center"/>
                </w:tcPr>
                <w:p>
                  <w:pPr>
                    <w:widowControl w:val="0"/>
                    <w:tabs>
                      <w:tab w:val="center" w:pos="4153"/>
                      <w:tab w:val="right" w:pos="8306"/>
                    </w:tabs>
                    <w:snapToGrid w:val="0"/>
                    <w:spacing w:line="240" w:lineRule="auto"/>
                    <w:jc w:val="center"/>
                    <w:rPr>
                      <w:rFonts w:eastAsia="宋体"/>
                      <w:sz w:val="21"/>
                      <w:szCs w:val="21"/>
                    </w:rPr>
                  </w:pPr>
                  <w:bookmarkStart w:id="0" w:name="OLE_LINK4"/>
                  <w:r>
                    <w:rPr>
                      <w:rFonts w:eastAsia="宋体"/>
                      <w:sz w:val="21"/>
                      <w:szCs w:val="21"/>
                    </w:rPr>
                    <w:t>污染种类</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设施名称</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0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环保投资</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（万元）</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处理效果</w:t>
                  </w:r>
                </w:p>
              </w:tc>
              <w:tc>
                <w:tcPr>
                  <w:tcW w:w="901" w:type="dxa"/>
                  <w:tcBorders>
                    <w:left w:val="single" w:color="auto" w:sz="4" w:space="0"/>
                  </w:tcBorders>
                  <w:vAlign w:val="center"/>
                </w:tcPr>
                <w:p>
                  <w:pPr>
                    <w:widowControl w:val="0"/>
                    <w:tabs>
                      <w:tab w:val="center" w:pos="4153"/>
                      <w:tab w:val="right" w:pos="8306"/>
                    </w:tabs>
                    <w:adjustRightInd w:val="0"/>
                    <w:snapToGrid w:val="0"/>
                    <w:spacing w:line="240" w:lineRule="auto"/>
                    <w:jc w:val="center"/>
                    <w:rPr>
                      <w:rFonts w:eastAsia="宋体"/>
                      <w:sz w:val="21"/>
                      <w:szCs w:val="21"/>
                    </w:rPr>
                  </w:pPr>
                  <w:r>
                    <w:rPr>
                      <w:rFonts w:eastAsia="宋体"/>
                      <w:sz w:val="21"/>
                      <w:szCs w:val="21"/>
                    </w:rPr>
                    <w:t>建设</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计划</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w:t>
                  </w:r>
                </w:p>
              </w:tc>
              <w:tc>
                <w:tcPr>
                  <w:tcW w:w="2657" w:type="dxa"/>
                  <w:gridSpan w:val="2"/>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卸油油气回收系统1套</w:t>
                  </w:r>
                </w:p>
                <w:p>
                  <w:pPr>
                    <w:pStyle w:val="2"/>
                    <w:snapToGrid w:val="0"/>
                    <w:spacing w:after="0" w:line="240" w:lineRule="auto"/>
                    <w:ind w:firstLine="0" w:firstLineChars="0"/>
                    <w:jc w:val="center"/>
                    <w:rPr>
                      <w:rFonts w:eastAsia="宋体"/>
                      <w:sz w:val="21"/>
                      <w:szCs w:val="21"/>
                    </w:rPr>
                  </w:pPr>
                  <w:r>
                    <w:rPr>
                      <w:rFonts w:eastAsia="宋体"/>
                      <w:sz w:val="21"/>
                      <w:szCs w:val="21"/>
                    </w:rPr>
                    <w:t>加油油气回收系统</w:t>
                  </w:r>
                  <w:r>
                    <w:rPr>
                      <w:rFonts w:hint="eastAsia" w:eastAsia="宋体"/>
                      <w:sz w:val="21"/>
                      <w:szCs w:val="21"/>
                    </w:rPr>
                    <w:t>1</w:t>
                  </w:r>
                  <w:r>
                    <w:rPr>
                      <w:rFonts w:eastAsia="宋体"/>
                      <w:sz w:val="21"/>
                      <w:szCs w:val="21"/>
                    </w:rPr>
                    <w:t>套</w:t>
                  </w:r>
                </w:p>
              </w:tc>
              <w:tc>
                <w:tcPr>
                  <w:tcW w:w="99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套</w:t>
                  </w:r>
                </w:p>
              </w:tc>
              <w:tc>
                <w:tcPr>
                  <w:tcW w:w="10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color w:val="FF0000"/>
                      <w:sz w:val="21"/>
                      <w:szCs w:val="21"/>
                    </w:rPr>
                  </w:pPr>
                  <w:r>
                    <w:rPr>
                      <w:rFonts w:eastAsia="宋体"/>
                      <w:sz w:val="21"/>
                      <w:szCs w:val="21"/>
                    </w:rPr>
                    <w:t>20</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达标排放，满足相关标准</w:t>
                  </w:r>
                </w:p>
              </w:tc>
              <w:tc>
                <w:tcPr>
                  <w:tcW w:w="901" w:type="dxa"/>
                  <w:vMerge w:val="restart"/>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与该项目“同时设计、同时施工、同时投入运行”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生活废水</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化粪池</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1座</w:t>
                  </w:r>
                </w:p>
              </w:tc>
              <w:tc>
                <w:tcPr>
                  <w:tcW w:w="10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满足污水处理厂接管标准</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设备隔声减振设施、设置禁鸣标志、设置减速带</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场界达标</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w:t>
                  </w:r>
                </w:p>
              </w:tc>
              <w:tc>
                <w:tcPr>
                  <w:tcW w:w="810"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一般固废</w:t>
                  </w:r>
                </w:p>
              </w:tc>
              <w:tc>
                <w:tcPr>
                  <w:tcW w:w="1847" w:type="dxa"/>
                  <w:tcBorders>
                    <w:top w:val="single" w:color="auto" w:sz="4" w:space="0"/>
                    <w:left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垃圾桶若干</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安全暂存</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排污口</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雨污管网及排口</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地下水防治措施</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风险</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设置泄漏在线监测报警系统；制定环境应急预案，加强应急演练；定期检查更换应急物资等</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绿化</w:t>
                  </w:r>
                </w:p>
              </w:tc>
              <w:tc>
                <w:tcPr>
                  <w:tcW w:w="3649" w:type="dxa"/>
                  <w:gridSpan w:val="3"/>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31" w:type="dxa"/>
                  <w:gridSpan w:val="4"/>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1065"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sz w:val="21"/>
                      <w:szCs w:val="21"/>
                    </w:rPr>
                    <w:t>40</w:t>
                  </w:r>
                </w:p>
              </w:tc>
              <w:tc>
                <w:tcPr>
                  <w:tcW w:w="2195" w:type="dxa"/>
                  <w:tcBorders>
                    <w:top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1"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r>
            <w:bookmarkEnd w:id="0"/>
          </w:tbl>
          <w:p>
            <w:pPr>
              <w:snapToGrid w:val="0"/>
              <w:spacing w:line="500" w:lineRule="exact"/>
              <w:ind w:right="140" w:rightChars="50" w:firstLine="482" w:firstLineChars="200"/>
              <w:rPr>
                <w:rFonts w:eastAsia="宋体"/>
                <w:b/>
                <w:sz w:val="24"/>
                <w:szCs w:val="24"/>
              </w:rPr>
            </w:pPr>
            <w:r>
              <w:rPr>
                <w:rFonts w:eastAsia="宋体"/>
                <w:b/>
                <w:sz w:val="24"/>
                <w:szCs w:val="24"/>
              </w:rPr>
              <w:t>6、产业政策符合性分析</w:t>
            </w:r>
          </w:p>
          <w:p>
            <w:pPr>
              <w:snapToGrid w:val="0"/>
              <w:spacing w:line="500" w:lineRule="exact"/>
              <w:ind w:firstLine="480" w:firstLineChars="200"/>
              <w:rPr>
                <w:rFonts w:eastAsia="宋体"/>
                <w:sz w:val="24"/>
                <w:szCs w:val="24"/>
              </w:rPr>
            </w:pPr>
            <w:r>
              <w:rPr>
                <w:rFonts w:eastAsia="宋体"/>
                <w:sz w:val="24"/>
                <w:szCs w:val="24"/>
              </w:rPr>
              <w:t>本项目属于机动车燃料零售业，对照《产业结构调整指导目录（2019年本）》、《江苏省工业和信息产业结构调整指导目录（2012年本）》及其部分修改条目，不属于其中的鼓励类、淘汰类、限制类，为允许类。因此项目的建设符合国家及地方的产业政策。</w:t>
            </w:r>
          </w:p>
          <w:p>
            <w:pPr>
              <w:snapToGrid w:val="0"/>
              <w:spacing w:line="500" w:lineRule="exact"/>
              <w:ind w:right="140" w:rightChars="50" w:firstLine="482" w:firstLineChars="200"/>
              <w:rPr>
                <w:rFonts w:eastAsia="宋体"/>
                <w:b/>
                <w:sz w:val="24"/>
                <w:szCs w:val="24"/>
              </w:rPr>
            </w:pPr>
            <w:r>
              <w:rPr>
                <w:rFonts w:eastAsia="宋体"/>
                <w:b/>
                <w:sz w:val="24"/>
                <w:szCs w:val="24"/>
              </w:rPr>
              <w:t>7、选址及平面布置合理性分析</w:t>
            </w:r>
          </w:p>
          <w:p>
            <w:pPr>
              <w:snapToGrid w:val="0"/>
              <w:spacing w:line="500" w:lineRule="exact"/>
              <w:ind w:right="140" w:rightChars="50" w:firstLine="470" w:firstLineChars="196"/>
              <w:rPr>
                <w:rFonts w:eastAsia="宋体"/>
                <w:sz w:val="24"/>
                <w:szCs w:val="24"/>
              </w:rPr>
            </w:pPr>
            <w:r>
              <w:rPr>
                <w:rFonts w:eastAsia="宋体"/>
                <w:sz w:val="24"/>
                <w:szCs w:val="24"/>
              </w:rPr>
              <w:t>（1）选址合理性分析</w:t>
            </w:r>
          </w:p>
          <w:p>
            <w:pPr>
              <w:snapToGrid w:val="0"/>
              <w:spacing w:line="500" w:lineRule="exact"/>
              <w:ind w:right="140" w:rightChars="50" w:firstLine="470" w:firstLineChars="196"/>
              <w:rPr>
                <w:rFonts w:eastAsia="宋体"/>
                <w:sz w:val="24"/>
                <w:szCs w:val="24"/>
              </w:rPr>
            </w:pPr>
            <w:r>
              <w:rPr>
                <w:rFonts w:eastAsia="宋体"/>
                <w:sz w:val="24"/>
                <w:szCs w:val="24"/>
              </w:rPr>
              <w:t>本项目选址于</w:t>
            </w:r>
            <w:r>
              <w:rPr>
                <w:rFonts w:hint="eastAsia" w:eastAsia="宋体"/>
                <w:sz w:val="24"/>
                <w:szCs w:val="24"/>
              </w:rPr>
              <w:t>沭阳县青岛路北侧民政局老年公寓东侧</w:t>
            </w:r>
            <w:r>
              <w:rPr>
                <w:rFonts w:eastAsia="宋体"/>
                <w:sz w:val="24"/>
                <w:szCs w:val="24"/>
              </w:rPr>
              <w:t>，项目所在地属于</w:t>
            </w:r>
            <w:r>
              <w:rPr>
                <w:rFonts w:hint="eastAsia" w:eastAsia="宋体"/>
                <w:sz w:val="24"/>
                <w:szCs w:val="24"/>
              </w:rPr>
              <w:t>商业</w:t>
            </w:r>
            <w:r>
              <w:rPr>
                <w:rFonts w:eastAsia="宋体"/>
                <w:sz w:val="24"/>
                <w:szCs w:val="24"/>
              </w:rPr>
              <w:t>用地，</w:t>
            </w:r>
            <w:r>
              <w:rPr>
                <w:rFonts w:hint="eastAsia" w:eastAsia="宋体"/>
                <w:sz w:val="24"/>
                <w:szCs w:val="24"/>
              </w:rPr>
              <w:t>已于2009年10月19日取得江苏省经济贸易委员会批准的苏经信经【2009】305号文件。</w:t>
            </w:r>
            <w:r>
              <w:rPr>
                <w:rFonts w:eastAsia="宋体"/>
                <w:sz w:val="24"/>
                <w:szCs w:val="24"/>
              </w:rPr>
              <w:t>因此本项目符合用地规划。</w:t>
            </w:r>
          </w:p>
          <w:p>
            <w:pPr>
              <w:snapToGrid w:val="0"/>
              <w:spacing w:line="500" w:lineRule="exact"/>
              <w:ind w:right="140" w:rightChars="50" w:firstLine="470" w:firstLineChars="196"/>
              <w:rPr>
                <w:rFonts w:eastAsia="宋体"/>
                <w:sz w:val="24"/>
                <w:szCs w:val="24"/>
              </w:rPr>
            </w:pPr>
            <w:r>
              <w:rPr>
                <w:rFonts w:eastAsia="宋体"/>
                <w:sz w:val="24"/>
                <w:szCs w:val="24"/>
              </w:rPr>
              <w:t>根据《汽车加油加气站设计与施工规范》（GB50156-2012，2014年修订版），本项目属于</w:t>
            </w:r>
            <w:r>
              <w:rPr>
                <w:rFonts w:hint="eastAsia" w:eastAsia="宋体"/>
                <w:sz w:val="24"/>
                <w:szCs w:val="24"/>
              </w:rPr>
              <w:t>二</w:t>
            </w:r>
            <w:r>
              <w:rPr>
                <w:rFonts w:eastAsia="宋体"/>
                <w:sz w:val="24"/>
                <w:szCs w:val="24"/>
              </w:rPr>
              <w:t>级加油站，本项目选址与规范中加油站选址标准对比情况见表1-7。</w:t>
            </w:r>
          </w:p>
          <w:p>
            <w:pPr>
              <w:snapToGrid w:val="0"/>
              <w:spacing w:line="500" w:lineRule="exact"/>
              <w:ind w:firstLine="482" w:firstLineChars="200"/>
              <w:jc w:val="center"/>
              <w:rPr>
                <w:rFonts w:eastAsia="宋体"/>
                <w:b/>
                <w:sz w:val="24"/>
                <w:szCs w:val="24"/>
              </w:rPr>
            </w:pPr>
            <w:r>
              <w:rPr>
                <w:rFonts w:eastAsia="宋体"/>
                <w:b/>
                <w:sz w:val="24"/>
                <w:szCs w:val="24"/>
              </w:rPr>
              <w:t>表1-7 本项目选址与标准对比情况</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867"/>
              <w:gridCol w:w="3276"/>
              <w:gridCol w:w="1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标准要求</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本项目实际情况</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应符合城镇规划、环保和防火安全的要求，并选在交通便利的地方</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本项目符合</w:t>
                  </w:r>
                  <w:r>
                    <w:rPr>
                      <w:rFonts w:hint="eastAsia" w:eastAsia="宋体"/>
                      <w:sz w:val="21"/>
                      <w:szCs w:val="21"/>
                    </w:rPr>
                    <w:t>沭阳县</w:t>
                  </w:r>
                  <w:r>
                    <w:rPr>
                      <w:rFonts w:eastAsia="宋体"/>
                      <w:sz w:val="21"/>
                      <w:szCs w:val="21"/>
                    </w:rPr>
                    <w:t>总体规划、环保和防火安全的要求，交通便利</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在城市建成区不宜建一级加油站</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本加油站</w:t>
                  </w:r>
                  <w:r>
                    <w:rPr>
                      <w:rFonts w:eastAsia="宋体"/>
                      <w:sz w:val="21"/>
                      <w:szCs w:val="21"/>
                    </w:rPr>
                    <w:t>为</w:t>
                  </w:r>
                  <w:r>
                    <w:rPr>
                      <w:rFonts w:hint="eastAsia" w:eastAsia="宋体"/>
                      <w:sz w:val="21"/>
                      <w:szCs w:val="21"/>
                    </w:rPr>
                    <w:t>二</w:t>
                  </w:r>
                  <w:r>
                    <w:rPr>
                      <w:rFonts w:eastAsia="宋体"/>
                      <w:sz w:val="21"/>
                      <w:szCs w:val="21"/>
                    </w:rPr>
                    <w:t>级加油站</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城市建成区内的加油加气站，宜靠近城市道路，但不宜选在城市干道的交叉路口附近。</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本站靠近</w:t>
                  </w:r>
                  <w:r>
                    <w:rPr>
                      <w:rFonts w:hint="eastAsia" w:eastAsia="宋体"/>
                      <w:sz w:val="21"/>
                      <w:szCs w:val="21"/>
                    </w:rPr>
                    <w:t>青岛路</w:t>
                  </w:r>
                  <w:r>
                    <w:rPr>
                      <w:rFonts w:eastAsia="宋体"/>
                      <w:sz w:val="21"/>
                      <w:szCs w:val="21"/>
                    </w:rPr>
                    <w:t>，不在城市干道的交叉路口</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加油站的油罐、加油机和通气管道管口与站外建、构筑物的防火距离，不应小于《汽车加油加气站设计与施工规范》表4.0.4和表4.0.5的规定</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详见表1-2</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eastAsia="宋体"/>
                <w:sz w:val="24"/>
                <w:szCs w:val="24"/>
              </w:rPr>
              <w:t>（2）布局合理性分析</w:t>
            </w:r>
          </w:p>
          <w:p>
            <w:pPr>
              <w:snapToGrid w:val="0"/>
              <w:spacing w:line="500" w:lineRule="exact"/>
              <w:ind w:right="140" w:rightChars="50" w:firstLine="470" w:firstLineChars="196"/>
              <w:rPr>
                <w:rFonts w:eastAsia="宋体"/>
                <w:color w:val="FF0000"/>
                <w:sz w:val="24"/>
                <w:szCs w:val="24"/>
              </w:rPr>
            </w:pPr>
            <w:r>
              <w:rPr>
                <w:rFonts w:eastAsia="宋体"/>
                <w:sz w:val="24"/>
                <w:szCs w:val="24"/>
              </w:rPr>
              <w:t>本项目属于</w:t>
            </w:r>
            <w:r>
              <w:rPr>
                <w:rFonts w:hint="eastAsia" w:eastAsia="宋体"/>
                <w:sz w:val="24"/>
                <w:szCs w:val="24"/>
              </w:rPr>
              <w:t>二</w:t>
            </w:r>
            <w:r>
              <w:rPr>
                <w:rFonts w:eastAsia="宋体"/>
                <w:sz w:val="24"/>
                <w:szCs w:val="24"/>
              </w:rPr>
              <w:t>级站，</w:t>
            </w:r>
            <w:r>
              <w:rPr>
                <w:rFonts w:eastAsia="宋体"/>
                <w:bCs/>
                <w:sz w:val="24"/>
                <w:szCs w:val="24"/>
              </w:rPr>
              <w:t>按功能可分为加油区、</w:t>
            </w:r>
            <w:r>
              <w:rPr>
                <w:rFonts w:eastAsia="宋体"/>
                <w:bCs/>
                <w:color w:val="000000"/>
                <w:sz w:val="24"/>
                <w:szCs w:val="24"/>
              </w:rPr>
              <w:t>储油区</w:t>
            </w:r>
            <w:r>
              <w:rPr>
                <w:rFonts w:eastAsia="宋体"/>
                <w:bCs/>
                <w:sz w:val="24"/>
                <w:szCs w:val="24"/>
              </w:rPr>
              <w:t>及其他服务设施。项目地下储油区位于厂区</w:t>
            </w:r>
            <w:r>
              <w:rPr>
                <w:rFonts w:hint="eastAsia" w:eastAsia="宋体"/>
                <w:bCs/>
                <w:sz w:val="24"/>
                <w:szCs w:val="24"/>
              </w:rPr>
              <w:t>中间罩棚地下，埋地贮油罐</w:t>
            </w:r>
            <w:r>
              <w:rPr>
                <w:rFonts w:eastAsia="宋体"/>
                <w:bCs/>
                <w:sz w:val="24"/>
                <w:szCs w:val="24"/>
              </w:rPr>
              <w:t>，站房位于厂区</w:t>
            </w:r>
            <w:r>
              <w:rPr>
                <w:rFonts w:hint="eastAsia" w:eastAsia="宋体"/>
                <w:bCs/>
                <w:sz w:val="24"/>
                <w:szCs w:val="24"/>
              </w:rPr>
              <w:t>东</w:t>
            </w:r>
            <w:r>
              <w:rPr>
                <w:rFonts w:eastAsia="宋体"/>
                <w:bCs/>
                <w:sz w:val="24"/>
                <w:szCs w:val="24"/>
              </w:rPr>
              <w:t>侧，</w:t>
            </w:r>
            <w:r>
              <w:rPr>
                <w:rFonts w:hint="eastAsia" w:eastAsia="宋体"/>
                <w:bCs/>
                <w:sz w:val="24"/>
                <w:szCs w:val="24"/>
              </w:rPr>
              <w:t>南</w:t>
            </w:r>
            <w:r>
              <w:rPr>
                <w:rFonts w:eastAsia="宋体"/>
                <w:bCs/>
                <w:sz w:val="24"/>
                <w:szCs w:val="24"/>
              </w:rPr>
              <w:t>侧临近</w:t>
            </w:r>
            <w:r>
              <w:rPr>
                <w:rFonts w:hint="eastAsia" w:eastAsia="宋体"/>
                <w:bCs/>
                <w:sz w:val="24"/>
                <w:szCs w:val="24"/>
              </w:rPr>
              <w:t>青岛路</w:t>
            </w:r>
            <w:r>
              <w:rPr>
                <w:rFonts w:eastAsia="宋体"/>
                <w:bCs/>
                <w:sz w:val="24"/>
                <w:szCs w:val="24"/>
              </w:rPr>
              <w:t>设置</w:t>
            </w:r>
            <w:r>
              <w:rPr>
                <w:rFonts w:hint="eastAsia" w:eastAsia="宋体"/>
                <w:bCs/>
                <w:sz w:val="24"/>
                <w:szCs w:val="24"/>
              </w:rPr>
              <w:t>出口、入</w:t>
            </w:r>
            <w:r>
              <w:rPr>
                <w:rFonts w:eastAsia="宋体"/>
                <w:bCs/>
                <w:sz w:val="24"/>
                <w:szCs w:val="24"/>
              </w:rPr>
              <w:t>口。</w:t>
            </w:r>
            <w:r>
              <w:rPr>
                <w:rFonts w:hint="eastAsia" w:eastAsia="宋体"/>
                <w:bCs/>
                <w:sz w:val="24"/>
                <w:szCs w:val="24"/>
                <w:lang w:eastAsia="zh-CN"/>
              </w:rPr>
              <w:t>本项目已于</w:t>
            </w:r>
            <w:r>
              <w:rPr>
                <w:rFonts w:hint="eastAsia" w:eastAsia="宋体"/>
                <w:bCs/>
                <w:sz w:val="24"/>
                <w:szCs w:val="24"/>
                <w:lang w:val="en-US" w:eastAsia="zh-CN"/>
              </w:rPr>
              <w:t>2009年8月17日通过消防验收（文号：沭公消验【2009】第0002号），建筑工程消防验收意见书附后，因此本设备汽油、柴油设备与站外</w:t>
            </w:r>
            <w:r>
              <w:rPr>
                <w:rFonts w:eastAsia="宋体"/>
                <w:sz w:val="24"/>
                <w:szCs w:val="24"/>
              </w:rPr>
              <w:t>有汽油卸油及加油油气回收系统。项目设备与站外</w:t>
            </w:r>
            <w:r>
              <w:rPr>
                <w:rFonts w:eastAsia="宋体"/>
                <w:bCs/>
                <w:sz w:val="24"/>
                <w:szCs w:val="24"/>
              </w:rPr>
              <w:t>建（构）筑物的安全间距符合</w:t>
            </w:r>
            <w:r>
              <w:rPr>
                <w:rFonts w:hint="eastAsia" w:eastAsia="宋体"/>
                <w:bCs/>
                <w:sz w:val="24"/>
                <w:szCs w:val="24"/>
                <w:lang w:eastAsia="zh-CN"/>
              </w:rPr>
              <w:t>（</w:t>
            </w:r>
            <w:r>
              <w:rPr>
                <w:rFonts w:eastAsia="宋体"/>
                <w:bCs/>
                <w:sz w:val="24"/>
                <w:szCs w:val="24"/>
              </w:rPr>
              <w:t>GB50156-2012</w:t>
            </w:r>
            <w:r>
              <w:rPr>
                <w:rFonts w:hint="eastAsia" w:eastAsia="宋体"/>
                <w:bCs/>
                <w:sz w:val="24"/>
                <w:szCs w:val="24"/>
                <w:lang w:eastAsia="zh-CN"/>
              </w:rPr>
              <w:t>）（</w:t>
            </w:r>
            <w:r>
              <w:rPr>
                <w:rFonts w:hint="eastAsia" w:eastAsia="宋体"/>
                <w:bCs/>
                <w:sz w:val="24"/>
                <w:szCs w:val="24"/>
                <w:lang w:val="en-US" w:eastAsia="zh-CN"/>
              </w:rPr>
              <w:t>2014年修订</w:t>
            </w:r>
            <w:r>
              <w:rPr>
                <w:rFonts w:hint="eastAsia" w:eastAsia="宋体"/>
                <w:bCs/>
                <w:sz w:val="24"/>
                <w:szCs w:val="24"/>
                <w:lang w:eastAsia="zh-CN"/>
              </w:rPr>
              <w:t>）和《建筑设计防火规范》（</w:t>
            </w:r>
            <w:r>
              <w:rPr>
                <w:rFonts w:hint="eastAsia" w:eastAsia="宋体"/>
                <w:bCs/>
                <w:sz w:val="24"/>
                <w:szCs w:val="24"/>
                <w:lang w:val="en-US" w:eastAsia="zh-CN"/>
              </w:rPr>
              <w:t>GB50016-2014</w:t>
            </w:r>
            <w:r>
              <w:rPr>
                <w:rFonts w:hint="eastAsia" w:eastAsia="宋体"/>
                <w:bCs/>
                <w:sz w:val="24"/>
                <w:szCs w:val="24"/>
                <w:lang w:eastAsia="zh-CN"/>
              </w:rPr>
              <w:t>）（</w:t>
            </w:r>
            <w:r>
              <w:rPr>
                <w:rFonts w:hint="eastAsia" w:eastAsia="宋体"/>
                <w:bCs/>
                <w:sz w:val="24"/>
                <w:szCs w:val="24"/>
                <w:lang w:val="en-US" w:eastAsia="zh-CN"/>
              </w:rPr>
              <w:t>2018年修订</w:t>
            </w:r>
            <w:r>
              <w:rPr>
                <w:rFonts w:hint="eastAsia" w:eastAsia="宋体"/>
                <w:bCs/>
                <w:sz w:val="24"/>
                <w:szCs w:val="24"/>
                <w:lang w:eastAsia="zh-CN"/>
              </w:rPr>
              <w:t>）</w:t>
            </w:r>
            <w:r>
              <w:rPr>
                <w:rFonts w:eastAsia="宋体"/>
                <w:bCs/>
                <w:sz w:val="24"/>
                <w:szCs w:val="24"/>
              </w:rPr>
              <w:t>相关要求</w:t>
            </w:r>
            <w:r>
              <w:rPr>
                <w:rFonts w:hint="eastAsia" w:eastAsia="宋体"/>
                <w:bCs/>
                <w:sz w:val="24"/>
                <w:szCs w:val="24"/>
                <w:lang w:eastAsia="zh-CN"/>
              </w:rPr>
              <w:t>，平面布局合理</w:t>
            </w:r>
            <w:r>
              <w:rPr>
                <w:rFonts w:eastAsia="宋体"/>
                <w:bCs/>
                <w:sz w:val="24"/>
                <w:szCs w:val="24"/>
              </w:rPr>
              <w:t>。</w:t>
            </w:r>
          </w:p>
          <w:p>
            <w:pPr>
              <w:snapToGrid w:val="0"/>
              <w:spacing w:line="500" w:lineRule="exact"/>
              <w:ind w:right="140" w:rightChars="50" w:firstLine="470" w:firstLineChars="196"/>
              <w:rPr>
                <w:rFonts w:eastAsia="宋体"/>
                <w:sz w:val="24"/>
                <w:szCs w:val="24"/>
              </w:rPr>
            </w:pPr>
            <w:r>
              <w:rPr>
                <w:rFonts w:eastAsia="宋体"/>
                <w:sz w:val="24"/>
                <w:szCs w:val="24"/>
              </w:rPr>
              <w:t>（3）其他与GB50156-2012符合性分析</w:t>
            </w:r>
          </w:p>
          <w:p>
            <w:pPr>
              <w:snapToGrid w:val="0"/>
              <w:spacing w:line="500" w:lineRule="exact"/>
              <w:ind w:right="140" w:rightChars="50" w:firstLine="470" w:firstLineChars="196"/>
              <w:rPr>
                <w:rFonts w:eastAsia="宋体"/>
                <w:sz w:val="24"/>
                <w:szCs w:val="24"/>
              </w:rPr>
            </w:pPr>
            <w:r>
              <w:rPr>
                <w:rFonts w:eastAsia="宋体"/>
                <w:sz w:val="24"/>
                <w:szCs w:val="24"/>
              </w:rPr>
              <w:t>本项目汽油及柴油储罐采用卧式地埋式SF双层钢制储罐，油罐单个容积最大为30m</w:t>
            </w:r>
            <w:r>
              <w:rPr>
                <w:rFonts w:eastAsia="宋体"/>
                <w:sz w:val="24"/>
                <w:szCs w:val="24"/>
                <w:vertAlign w:val="superscript"/>
              </w:rPr>
              <w:t>3</w:t>
            </w:r>
            <w:r>
              <w:rPr>
                <w:rFonts w:eastAsia="宋体"/>
                <w:sz w:val="24"/>
                <w:szCs w:val="24"/>
              </w:rPr>
              <w:t>，满足《汽车加油加气站设计与施工规范》（GB50156-2012）（2014年修订版）“当油罐总容积大于90m</w:t>
            </w:r>
            <w:r>
              <w:rPr>
                <w:rFonts w:eastAsia="宋体"/>
                <w:sz w:val="24"/>
                <w:szCs w:val="24"/>
                <w:vertAlign w:val="superscript"/>
              </w:rPr>
              <w:t>3</w:t>
            </w:r>
            <w:r>
              <w:rPr>
                <w:rFonts w:eastAsia="宋体"/>
                <w:sz w:val="24"/>
                <w:szCs w:val="24"/>
              </w:rPr>
              <w:t>时，油罐单罐容积不应大于50m</w:t>
            </w:r>
            <w:r>
              <w:rPr>
                <w:rFonts w:eastAsia="宋体"/>
                <w:sz w:val="24"/>
                <w:szCs w:val="24"/>
                <w:vertAlign w:val="superscript"/>
              </w:rPr>
              <w:t>3</w:t>
            </w:r>
            <w:r>
              <w:rPr>
                <w:rFonts w:eastAsia="宋体"/>
                <w:sz w:val="24"/>
                <w:szCs w:val="24"/>
              </w:rPr>
              <w:t>；当油罐总容积小于或等于90 m</w:t>
            </w:r>
            <w:r>
              <w:rPr>
                <w:rFonts w:eastAsia="宋体"/>
                <w:sz w:val="24"/>
                <w:szCs w:val="24"/>
                <w:vertAlign w:val="superscript"/>
              </w:rPr>
              <w:t>3</w:t>
            </w:r>
            <w:r>
              <w:rPr>
                <w:rFonts w:eastAsia="宋体"/>
                <w:sz w:val="24"/>
                <w:szCs w:val="24"/>
              </w:rPr>
              <w:t>时，汽油罐单罐容积不应大于30 m</w:t>
            </w:r>
            <w:r>
              <w:rPr>
                <w:rFonts w:eastAsia="宋体"/>
                <w:sz w:val="24"/>
                <w:szCs w:val="24"/>
                <w:vertAlign w:val="superscript"/>
              </w:rPr>
              <w:t>3</w:t>
            </w:r>
            <w:r>
              <w:rPr>
                <w:rFonts w:eastAsia="宋体"/>
                <w:sz w:val="24"/>
                <w:szCs w:val="24"/>
              </w:rPr>
              <w:t>，柴油罐单罐容积不应大于50m</w:t>
            </w:r>
            <w:r>
              <w:rPr>
                <w:rFonts w:eastAsia="宋体"/>
                <w:sz w:val="24"/>
                <w:szCs w:val="24"/>
                <w:vertAlign w:val="superscript"/>
              </w:rPr>
              <w:t>3</w:t>
            </w:r>
            <w:r>
              <w:rPr>
                <w:rFonts w:eastAsia="宋体"/>
                <w:sz w:val="24"/>
                <w:szCs w:val="24"/>
              </w:rPr>
              <w:t>”的规定。本项目油罐采用玻璃钢钢制卧式油罐，所采用的储罐符合国家现行标准《钢制压力容器》GB150、《低温绝热压力容器》GB18442和《固定式压力容器安全技术监察规程》TSGR0004的有关规定。</w:t>
            </w:r>
          </w:p>
          <w:p>
            <w:pPr>
              <w:snapToGrid w:val="0"/>
              <w:spacing w:line="500" w:lineRule="exact"/>
              <w:ind w:right="140" w:rightChars="50" w:firstLine="470" w:firstLineChars="196"/>
              <w:rPr>
                <w:rFonts w:eastAsia="宋体"/>
                <w:sz w:val="24"/>
                <w:szCs w:val="24"/>
              </w:rPr>
            </w:pPr>
            <w:r>
              <w:rPr>
                <w:rFonts w:eastAsia="宋体"/>
                <w:sz w:val="24"/>
                <w:szCs w:val="24"/>
              </w:rPr>
              <w:t>本站埋地汽、柴油储罐选用SF双层罐，符合《加油站地下水污染防治技术指南（试行）》中的规定，双层玻璃钢油罐的罐体结构设计符合行业标准《钢制常压储罐 第一部分：储存对水有污染的易燃和不易燃液体的埋地卧式圆筒形单层和双层储罐》（AQ 3020）的相关规定，油罐外表面防腐设计符合现行行业标准《石油化工设备和管道涂料防腐蚀技术规范》（SH 3022）中的有关规定，且防腐等级不低于加强级。</w:t>
            </w:r>
          </w:p>
          <w:p>
            <w:pPr>
              <w:snapToGrid w:val="0"/>
              <w:spacing w:line="500" w:lineRule="exact"/>
              <w:ind w:right="140" w:rightChars="50" w:firstLine="470" w:firstLineChars="196"/>
              <w:rPr>
                <w:rFonts w:eastAsia="宋体"/>
                <w:sz w:val="24"/>
                <w:szCs w:val="24"/>
              </w:rPr>
            </w:pPr>
            <w:r>
              <w:rPr>
                <w:rFonts w:eastAsia="宋体"/>
                <w:sz w:val="24"/>
                <w:szCs w:val="24"/>
              </w:rPr>
              <w:t>本项目埋地加油管道采用双层管道，设计要求符合《汽车加油加气站设计与施工规范》（GB50156-2012，2014年修订版）。</w:t>
            </w:r>
          </w:p>
          <w:p>
            <w:pPr>
              <w:spacing w:line="480" w:lineRule="exact"/>
              <w:ind w:firstLine="482" w:firstLineChars="200"/>
              <w:rPr>
                <w:rFonts w:eastAsia="宋体"/>
                <w:b/>
                <w:sz w:val="24"/>
                <w:szCs w:val="24"/>
              </w:rPr>
            </w:pPr>
            <w:r>
              <w:rPr>
                <w:rFonts w:eastAsia="宋体"/>
                <w:b/>
                <w:sz w:val="24"/>
                <w:szCs w:val="24"/>
              </w:rPr>
              <w:t>10、与《重点行业挥发性有机物综合治理方案》相符性分析</w:t>
            </w:r>
          </w:p>
          <w:p>
            <w:pPr>
              <w:snapToGrid w:val="0"/>
              <w:spacing w:line="500" w:lineRule="exact"/>
              <w:ind w:right="140" w:rightChars="50" w:firstLine="470" w:firstLineChars="196"/>
              <w:rPr>
                <w:rFonts w:eastAsia="宋体"/>
                <w:sz w:val="24"/>
                <w:szCs w:val="24"/>
              </w:rPr>
            </w:pPr>
            <w:r>
              <w:rPr>
                <w:rFonts w:eastAsia="宋体"/>
                <w:sz w:val="24"/>
                <w:szCs w:val="24"/>
              </w:rPr>
              <w:t>生态环境部于2019年6月26日发布了《关于印发〈重点行业挥发性有机物综合治理方案〉的通知》（环大气[2019]53号），重点行业治理任务第五条对油品储运销VOCs综合治理提出了具体要求。本项目与治理方案相符性分析见表1-</w:t>
            </w:r>
            <w:r>
              <w:rPr>
                <w:rFonts w:hint="eastAsia" w:eastAsia="宋体"/>
                <w:sz w:val="24"/>
                <w:szCs w:val="24"/>
                <w:lang w:val="en-US" w:eastAsia="zh-CN"/>
              </w:rPr>
              <w:t>8</w:t>
            </w:r>
            <w:r>
              <w:rPr>
                <w:rFonts w:eastAsia="宋体"/>
                <w:sz w:val="24"/>
                <w:szCs w:val="24"/>
              </w:rPr>
              <w:t>。</w:t>
            </w:r>
          </w:p>
          <w:p>
            <w:pPr>
              <w:snapToGrid w:val="0"/>
              <w:spacing w:line="500" w:lineRule="exact"/>
              <w:ind w:right="140" w:rightChars="50" w:firstLine="472" w:firstLineChars="196"/>
              <w:jc w:val="center"/>
              <w:rPr>
                <w:rFonts w:eastAsia="宋体"/>
                <w:b/>
                <w:color w:val="FF0000"/>
                <w:sz w:val="24"/>
                <w:szCs w:val="24"/>
              </w:rPr>
            </w:pPr>
            <w:r>
              <w:rPr>
                <w:rFonts w:eastAsia="宋体"/>
                <w:b/>
                <w:sz w:val="24"/>
                <w:szCs w:val="24"/>
              </w:rPr>
              <w:t>表1-</w:t>
            </w:r>
            <w:r>
              <w:rPr>
                <w:rFonts w:hint="eastAsia" w:eastAsia="宋体"/>
                <w:b/>
                <w:sz w:val="24"/>
                <w:szCs w:val="24"/>
                <w:lang w:val="en-US" w:eastAsia="zh-CN"/>
              </w:rPr>
              <w:t>8</w:t>
            </w:r>
            <w:r>
              <w:rPr>
                <w:rFonts w:eastAsia="宋体"/>
                <w:b/>
                <w:sz w:val="24"/>
                <w:szCs w:val="24"/>
              </w:rPr>
              <w:t xml:space="preserve"> 《重点行业挥发性有机物综合治理方案》相符性分析</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835"/>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加油站相关综合治理方案要求</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本站情况</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加大汽油（含乙醇汽油）、石脑油、煤油（含航空煤油）以及原油等VOCs排放控制，重点推进加油站、油罐车、储油库油气回收治理。</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本项目加油站汽油卸油、加油已采取汽油油气回收系统</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深化加油站油气回收工作。O</w:t>
                  </w:r>
                  <w:r>
                    <w:rPr>
                      <w:rFonts w:eastAsia="宋体"/>
                      <w:sz w:val="21"/>
                      <w:szCs w:val="21"/>
                      <w:vertAlign w:val="subscript"/>
                    </w:rPr>
                    <w:t>3</w:t>
                  </w:r>
                  <w:r>
                    <w:rPr>
                      <w:rFonts w:eastAsia="宋体"/>
                      <w:sz w:val="21"/>
                      <w:szCs w:val="21"/>
                    </w:rPr>
                    <w:t>污染较重的地区，行政区域内大力推进加油站储油、加油油气回收治理工作，重点区域2019年年底前基本完成。</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本项目位于江苏省宿迁市，属于重点区域。目前站内已完成加油站储油、加油油气回收治理工作。</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埋地油罐全面采用电子液位仪进行汽油密闭测量。</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已采用电子液位仪进行汽油密闭测量</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规范油气回收设施运行，自行或聘请第三方加强加油枪气液比、系统密闭性及管线液阻等检查，提高检测频次，重点区域原则上每半年开展一次，确保油气回收系统正常运行。</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企业聘请了第三方检测机构，半年检测一次汽油加油枪气液比、系统密闭性及管线液阻</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eastAsia="宋体"/>
                <w:sz w:val="24"/>
                <w:szCs w:val="24"/>
              </w:rPr>
              <w:t>根据上表分析，本项目加油站已落实《重点行业挥发性有机物综合治理方案》中提出的各项针对加油站的综合治理措施。</w:t>
            </w:r>
          </w:p>
          <w:p>
            <w:pPr>
              <w:snapToGrid w:val="0"/>
              <w:spacing w:line="500" w:lineRule="exact"/>
              <w:ind w:right="140" w:rightChars="50" w:firstLine="470" w:firstLineChars="196"/>
              <w:rPr>
                <w:rFonts w:eastAsia="宋体"/>
                <w:sz w:val="24"/>
                <w:szCs w:val="24"/>
              </w:rPr>
            </w:pPr>
            <w:r>
              <w:rPr>
                <w:rFonts w:eastAsia="宋体"/>
                <w:sz w:val="24"/>
                <w:szCs w:val="24"/>
              </w:rPr>
              <w:t>加油站应根据《重点行业挥发性有机物综合治理方案》中“附件3 中VOCs 治理台帐记录要求”中“加油站”项进一步完善日常台帐记录工作，日常管理检查时根据“附件4 油品储运销VOCs 治理检查要点”中“加油站”项完善日常检查工作。</w:t>
            </w:r>
          </w:p>
          <w:p>
            <w:pPr>
              <w:spacing w:line="480" w:lineRule="exact"/>
              <w:ind w:firstLine="482" w:firstLineChars="200"/>
              <w:rPr>
                <w:rFonts w:eastAsia="宋体"/>
                <w:b/>
                <w:sz w:val="24"/>
                <w:szCs w:val="24"/>
              </w:rPr>
            </w:pPr>
            <w:r>
              <w:rPr>
                <w:rFonts w:eastAsia="宋体"/>
                <w:b/>
                <w:sz w:val="24"/>
                <w:szCs w:val="24"/>
              </w:rPr>
              <w:t>11、“三线一单”相符性分析</w:t>
            </w:r>
          </w:p>
          <w:p>
            <w:pPr>
              <w:snapToGrid w:val="0"/>
              <w:spacing w:line="500" w:lineRule="exact"/>
              <w:ind w:right="140" w:rightChars="50" w:firstLine="470" w:firstLineChars="196"/>
              <w:rPr>
                <w:rFonts w:eastAsia="宋体"/>
                <w:sz w:val="24"/>
                <w:szCs w:val="24"/>
              </w:rPr>
            </w:pPr>
            <w:r>
              <w:rPr>
                <w:rFonts w:eastAsia="宋体"/>
                <w:sz w:val="24"/>
                <w:szCs w:val="24"/>
              </w:rPr>
              <w:t>（1）生态红线</w:t>
            </w:r>
          </w:p>
          <w:p>
            <w:pPr>
              <w:adjustRightInd w:val="0"/>
              <w:snapToGrid w:val="0"/>
              <w:ind w:firstLine="480" w:firstLineChars="200"/>
              <w:rPr>
                <w:rFonts w:eastAsia="宋体"/>
                <w:sz w:val="24"/>
                <w:szCs w:val="24"/>
              </w:rPr>
            </w:pPr>
            <w:r>
              <w:rPr>
                <w:rFonts w:eastAsia="宋体"/>
                <w:sz w:val="24"/>
                <w:szCs w:val="24"/>
              </w:rPr>
              <w:t xml:space="preserve"> 根据《省政府关于印发江苏省生态空间管控区域规划的通知》（苏政发〔2020〕1号），全省陆域共划定15大类811块生态空间保护区域，并实行分级管理（分为国家级生态保护红线、生态空间管控区域2级）。国家级生态保护红线原则上按禁止开发区域的要求进行管理，严禁不符合主体功能定位的各类开发活动，严禁任意改变用途。生态空间管控区域以生态保护为重点，原则上不得开展有损主导生态功能的开发建设活动，不得随意占用和调整。经查该通知附件《生态空间保护区域名录及分布图》，与本项目所在地距离最近的生态空间保护区域为“</w:t>
            </w:r>
            <w:r>
              <w:rPr>
                <w:rFonts w:hint="eastAsia" w:eastAsia="宋体"/>
                <w:sz w:val="24"/>
                <w:szCs w:val="24"/>
              </w:rPr>
              <w:t>新沂河（沭阳县）洪水调蓄区</w:t>
            </w:r>
            <w:r>
              <w:rPr>
                <w:rFonts w:eastAsia="宋体"/>
                <w:sz w:val="24"/>
                <w:szCs w:val="24"/>
              </w:rPr>
              <w:t>”，该区域主导生态功能为</w:t>
            </w:r>
            <w:r>
              <w:rPr>
                <w:rFonts w:hint="eastAsia" w:eastAsia="宋体"/>
                <w:sz w:val="24"/>
                <w:szCs w:val="24"/>
              </w:rPr>
              <w:t>洪水调蓄</w:t>
            </w:r>
            <w:r>
              <w:rPr>
                <w:rFonts w:eastAsia="宋体"/>
                <w:sz w:val="24"/>
                <w:szCs w:val="24"/>
              </w:rPr>
              <w:t>，属于生态空间管控区域。详见表</w:t>
            </w:r>
            <w:r>
              <w:rPr>
                <w:rFonts w:hint="eastAsia" w:eastAsia="宋体"/>
                <w:sz w:val="24"/>
                <w:szCs w:val="24"/>
                <w:lang w:val="en-US" w:eastAsia="zh-CN"/>
              </w:rPr>
              <w:t>1</w:t>
            </w:r>
            <w:r>
              <w:rPr>
                <w:rFonts w:eastAsia="宋体"/>
                <w:sz w:val="24"/>
                <w:szCs w:val="24"/>
              </w:rPr>
              <w:t>-9。</w:t>
            </w:r>
          </w:p>
          <w:p>
            <w:pPr>
              <w:widowControl w:val="0"/>
              <w:adjustRightInd w:val="0"/>
              <w:snapToGrid w:val="0"/>
              <w:ind w:firstLine="482" w:firstLineChars="200"/>
              <w:jc w:val="center"/>
              <w:rPr>
                <w:rFonts w:eastAsia="宋体"/>
                <w:b/>
                <w:bCs/>
                <w:sz w:val="24"/>
                <w:szCs w:val="24"/>
              </w:rPr>
            </w:pPr>
            <w:r>
              <w:rPr>
                <w:rFonts w:eastAsia="宋体"/>
                <w:b/>
                <w:bCs/>
                <w:sz w:val="24"/>
                <w:szCs w:val="24"/>
              </w:rPr>
              <w:t>表1-</w:t>
            </w:r>
            <w:r>
              <w:rPr>
                <w:rFonts w:hint="eastAsia" w:eastAsia="宋体"/>
                <w:b/>
                <w:bCs/>
                <w:sz w:val="24"/>
                <w:szCs w:val="24"/>
                <w:lang w:val="en-US" w:eastAsia="zh-CN"/>
              </w:rPr>
              <w:t>9</w:t>
            </w:r>
            <w:r>
              <w:rPr>
                <w:rFonts w:eastAsia="宋体"/>
                <w:b/>
                <w:bCs/>
                <w:sz w:val="24"/>
                <w:szCs w:val="24"/>
              </w:rPr>
              <w:t>江苏省陆域生态保护红线区域名录</w:t>
            </w:r>
          </w:p>
          <w:tbl>
            <w:tblPr>
              <w:tblStyle w:val="28"/>
              <w:tblW w:w="92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1280"/>
              <w:gridCol w:w="851"/>
              <w:gridCol w:w="4111"/>
              <w:gridCol w:w="14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09"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市级</w:t>
                  </w:r>
                </w:p>
              </w:tc>
              <w:tc>
                <w:tcPr>
                  <w:tcW w:w="846"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县级</w:t>
                  </w:r>
                </w:p>
              </w:tc>
              <w:tc>
                <w:tcPr>
                  <w:tcW w:w="1280"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名称</w:t>
                  </w:r>
                </w:p>
              </w:tc>
              <w:tc>
                <w:tcPr>
                  <w:tcW w:w="85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类型</w:t>
                  </w:r>
                </w:p>
              </w:tc>
              <w:tc>
                <w:tcPr>
                  <w:tcW w:w="411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地理位置</w:t>
                  </w:r>
                </w:p>
              </w:tc>
              <w:tc>
                <w:tcPr>
                  <w:tcW w:w="1434"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区域面积（平方公里）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宿迁市</w:t>
                  </w:r>
                </w:p>
              </w:tc>
              <w:tc>
                <w:tcPr>
                  <w:tcW w:w="846" w:type="dxa"/>
                  <w:vAlign w:val="center"/>
                </w:tcPr>
                <w:p>
                  <w:pPr>
                    <w:widowControl w:val="0"/>
                    <w:autoSpaceDE w:val="0"/>
                    <w:autoSpaceDN w:val="0"/>
                    <w:adjustRightInd w:val="0"/>
                    <w:spacing w:line="240" w:lineRule="auto"/>
                    <w:jc w:val="center"/>
                    <w:rPr>
                      <w:rFonts w:eastAsia="宋体"/>
                      <w:kern w:val="0"/>
                      <w:sz w:val="21"/>
                      <w:szCs w:val="24"/>
                    </w:rPr>
                  </w:pPr>
                  <w:r>
                    <w:rPr>
                      <w:rFonts w:hint="eastAsia" w:eastAsia="宋体"/>
                      <w:kern w:val="0"/>
                      <w:sz w:val="21"/>
                      <w:szCs w:val="24"/>
                    </w:rPr>
                    <w:t>沭阳县</w:t>
                  </w:r>
                </w:p>
              </w:tc>
              <w:tc>
                <w:tcPr>
                  <w:tcW w:w="1280"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新沂河（沭</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阳县）洪水</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调蓄区</w:t>
                  </w:r>
                </w:p>
              </w:tc>
              <w:tc>
                <w:tcPr>
                  <w:tcW w:w="85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洪水调蓄</w:t>
                  </w:r>
                </w:p>
              </w:tc>
              <w:tc>
                <w:tcPr>
                  <w:tcW w:w="411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新沂河两岸河堤之间的范围</w:t>
                  </w:r>
                </w:p>
              </w:tc>
              <w:tc>
                <w:tcPr>
                  <w:tcW w:w="1434" w:type="dxa"/>
                  <w:vAlign w:val="center"/>
                </w:tcPr>
                <w:p>
                  <w:pPr>
                    <w:widowControl w:val="0"/>
                    <w:autoSpaceDE w:val="0"/>
                    <w:autoSpaceDN w:val="0"/>
                    <w:adjustRightInd w:val="0"/>
                    <w:spacing w:line="240" w:lineRule="auto"/>
                    <w:jc w:val="center"/>
                    <w:rPr>
                      <w:rFonts w:eastAsia="宋体"/>
                      <w:kern w:val="0"/>
                      <w:sz w:val="21"/>
                      <w:szCs w:val="24"/>
                    </w:rPr>
                  </w:pPr>
                  <w:r>
                    <w:rPr>
                      <w:rFonts w:hint="eastAsia" w:eastAsia="宋体"/>
                      <w:kern w:val="0"/>
                      <w:sz w:val="21"/>
                      <w:szCs w:val="24"/>
                    </w:rPr>
                    <w:t>68.34</w:t>
                  </w:r>
                </w:p>
              </w:tc>
            </w:tr>
          </w:tbl>
          <w:p>
            <w:pPr>
              <w:adjustRightInd w:val="0"/>
              <w:snapToGrid w:val="0"/>
              <w:ind w:firstLine="480" w:firstLineChars="200"/>
              <w:rPr>
                <w:rFonts w:eastAsia="宋体"/>
                <w:bCs/>
                <w:sz w:val="24"/>
                <w:szCs w:val="24"/>
              </w:rPr>
            </w:pPr>
            <w:r>
              <w:rPr>
                <w:rFonts w:eastAsia="宋体"/>
                <w:bCs/>
                <w:sz w:val="24"/>
                <w:szCs w:val="24"/>
              </w:rPr>
              <w:t>经对比分析，生态空间保护区域 “</w:t>
            </w:r>
            <w:r>
              <w:rPr>
                <w:rFonts w:hint="eastAsia" w:eastAsia="宋体"/>
                <w:sz w:val="24"/>
                <w:szCs w:val="24"/>
              </w:rPr>
              <w:t>新沂河（沭阳县）洪水调蓄区</w:t>
            </w:r>
            <w:r>
              <w:rPr>
                <w:rFonts w:eastAsia="宋体"/>
                <w:bCs/>
                <w:sz w:val="24"/>
                <w:szCs w:val="24"/>
              </w:rPr>
              <w:t>”位于本项目所在地</w:t>
            </w:r>
            <w:r>
              <w:rPr>
                <w:rFonts w:hint="eastAsia" w:eastAsia="宋体"/>
                <w:bCs/>
                <w:sz w:val="24"/>
                <w:szCs w:val="24"/>
              </w:rPr>
              <w:t>西</w:t>
            </w:r>
            <w:r>
              <w:rPr>
                <w:rFonts w:eastAsia="宋体"/>
                <w:bCs/>
                <w:sz w:val="24"/>
                <w:szCs w:val="24"/>
              </w:rPr>
              <w:t>侧，最近相对距离为</w:t>
            </w:r>
            <w:r>
              <w:rPr>
                <w:rFonts w:hint="eastAsia" w:eastAsia="宋体"/>
                <w:bCs/>
                <w:sz w:val="24"/>
                <w:szCs w:val="24"/>
              </w:rPr>
              <w:t>650</w:t>
            </w:r>
            <w:r>
              <w:rPr>
                <w:rFonts w:eastAsia="宋体"/>
                <w:bCs/>
                <w:sz w:val="24"/>
                <w:szCs w:val="24"/>
              </w:rPr>
              <w:t>m，不在该生态空间管控区域范围内（相对位置详见附图）。因此，本项目的建设不违背《省政府关于印发江苏省生态空间管控区域规划的通知》（苏政发〔2020〕1号）及《省政府关于印发江苏省国家级生态保护红线规划的通知》（苏政发〔2018〕74号）生态红线相关要求。</w:t>
            </w:r>
          </w:p>
          <w:p>
            <w:pPr>
              <w:adjustRightInd w:val="0"/>
              <w:snapToGrid w:val="0"/>
              <w:ind w:firstLine="480" w:firstLineChars="200"/>
              <w:rPr>
                <w:rFonts w:eastAsia="宋体"/>
                <w:bCs/>
                <w:sz w:val="24"/>
                <w:szCs w:val="24"/>
              </w:rPr>
            </w:pPr>
            <w:r>
              <w:rPr>
                <w:rFonts w:eastAsia="宋体"/>
                <w:bCs/>
                <w:sz w:val="24"/>
                <w:szCs w:val="24"/>
              </w:rPr>
              <w:t xml:space="preserve">（2）环境质量底线 </w:t>
            </w:r>
          </w:p>
          <w:p>
            <w:pPr>
              <w:adjustRightInd w:val="0"/>
              <w:snapToGrid w:val="0"/>
              <w:ind w:firstLine="480" w:firstLineChars="200"/>
              <w:rPr>
                <w:rFonts w:eastAsia="宋体"/>
                <w:bCs/>
                <w:sz w:val="24"/>
                <w:szCs w:val="24"/>
              </w:rPr>
            </w:pPr>
            <w:r>
              <w:rPr>
                <w:rFonts w:hint="eastAsia" w:eastAsia="宋体"/>
                <w:bCs/>
                <w:sz w:val="24"/>
                <w:szCs w:val="24"/>
              </w:rPr>
              <w:t>2018 年沭阳县环境空气中二氧化硫的年均值、二氧化氮的年均值、O3 的 8 小时平均、CO 的 24 小时平均值，可达到《环境空气质量标准》（GB3095-2012）二级标准；PM10的年均值、PM2.5 的年均值，超过《环境空气质量标准》（GB3095-2012）二级标准，超标倍数分别为 0.086 倍、0.286 倍。项目所在区域 PM10、PM2.超标，因此判定为不达标区。根据大气环境质量达标规划，通过进一步控制扬尘污染，机动车尾气污染防治等措施，大气环境质量状况可以得到进一步改善。</w:t>
            </w:r>
          </w:p>
          <w:p>
            <w:pPr>
              <w:adjustRightInd w:val="0"/>
              <w:snapToGrid w:val="0"/>
              <w:ind w:firstLine="480" w:firstLineChars="200"/>
              <w:rPr>
                <w:rFonts w:eastAsia="宋体"/>
                <w:bCs/>
                <w:sz w:val="24"/>
                <w:szCs w:val="24"/>
              </w:rPr>
            </w:pPr>
            <w:r>
              <w:rPr>
                <w:rFonts w:eastAsia="宋体"/>
                <w:bCs/>
                <w:sz w:val="24"/>
                <w:szCs w:val="24"/>
              </w:rPr>
              <w:t>项目纳污水体为</w:t>
            </w:r>
            <w:r>
              <w:rPr>
                <w:rFonts w:hint="eastAsia" w:eastAsia="宋体"/>
                <w:bCs/>
                <w:sz w:val="24"/>
                <w:szCs w:val="24"/>
              </w:rPr>
              <w:t>沂南河</w:t>
            </w:r>
            <w:r>
              <w:rPr>
                <w:rFonts w:eastAsia="宋体"/>
                <w:bCs/>
                <w:sz w:val="24"/>
                <w:szCs w:val="24"/>
              </w:rPr>
              <w:t>。根据沭阳县环保局发布的2018年1 ~12 月环境质量公报，</w:t>
            </w:r>
            <w:r>
              <w:rPr>
                <w:rFonts w:hint="eastAsia" w:eastAsia="宋体"/>
                <w:sz w:val="24"/>
                <w:szCs w:val="24"/>
              </w:rPr>
              <w:t>沂南河</w:t>
            </w:r>
            <w:r>
              <w:rPr>
                <w:rFonts w:eastAsia="宋体"/>
                <w:bCs/>
                <w:sz w:val="24"/>
                <w:szCs w:val="24"/>
              </w:rPr>
              <w:t>监测断面水质各项指标均达《地表水环境质量标准》（GB3838-2002）Ⅳ类标准要求，水体环境良好。</w:t>
            </w:r>
          </w:p>
          <w:p>
            <w:pPr>
              <w:adjustRightInd w:val="0"/>
              <w:snapToGrid w:val="0"/>
              <w:ind w:firstLine="480" w:firstLineChars="200"/>
              <w:rPr>
                <w:sz w:val="23"/>
                <w:szCs w:val="23"/>
              </w:rPr>
            </w:pPr>
            <w:r>
              <w:rPr>
                <w:rFonts w:eastAsia="宋体"/>
                <w:bCs/>
                <w:sz w:val="24"/>
                <w:szCs w:val="24"/>
              </w:rPr>
              <w:t>2018年，对纳入国家土壤监测网的5个背景点位开展土壤环境质量例行监测，并按《土壤环境质量农用地土壤污染风险管控标准》（GB15618-2018）进行风险评估，5个背景点的11个风险筛选项目均小于风险筛选值，全市土壤污染风险低。建设项目所在地无不良辐射环境和生态环境影响。</w:t>
            </w:r>
          </w:p>
          <w:p>
            <w:pPr>
              <w:adjustRightInd w:val="0"/>
              <w:snapToGrid w:val="0"/>
              <w:ind w:firstLine="480" w:firstLineChars="200"/>
            </w:pPr>
            <w:r>
              <w:rPr>
                <w:rFonts w:eastAsia="宋体"/>
                <w:sz w:val="24"/>
                <w:szCs w:val="24"/>
              </w:rPr>
              <w:t>项目大气污染源主要是是卸油、储存、加油过程中排放的油气，配套建设了二级油气回收系统，少量未回收的油气不会对周边大气环境造成明显影响；生活污水经化粪池预处理后通过污水管网接入</w:t>
            </w:r>
            <w:r>
              <w:rPr>
                <w:rFonts w:hint="eastAsia" w:eastAsia="宋体"/>
                <w:bCs/>
                <w:sz w:val="24"/>
                <w:szCs w:val="24"/>
              </w:rPr>
              <w:t>沭阳县城东污水处理厂</w:t>
            </w:r>
            <w:r>
              <w:rPr>
                <w:rFonts w:eastAsia="宋体"/>
                <w:sz w:val="24"/>
                <w:szCs w:val="24"/>
              </w:rPr>
              <w:t>处理；项目各类输送泵属于低噪声设备，能确保厂界达标。因此项目的建设不会突破环境质量底线。</w:t>
            </w:r>
          </w:p>
          <w:p>
            <w:pPr>
              <w:adjustRightInd w:val="0"/>
              <w:snapToGrid w:val="0"/>
              <w:ind w:firstLine="480" w:firstLineChars="200"/>
              <w:rPr>
                <w:rFonts w:eastAsia="宋体"/>
                <w:bCs/>
                <w:sz w:val="24"/>
                <w:szCs w:val="24"/>
              </w:rPr>
            </w:pPr>
            <w:r>
              <w:rPr>
                <w:rFonts w:eastAsia="宋体"/>
                <w:bCs/>
                <w:sz w:val="24"/>
                <w:szCs w:val="24"/>
              </w:rPr>
              <w:t xml:space="preserve">（3）资源利用上线 </w:t>
            </w:r>
          </w:p>
          <w:p>
            <w:pPr>
              <w:adjustRightInd w:val="0"/>
              <w:snapToGrid w:val="0"/>
              <w:ind w:firstLine="480" w:firstLineChars="200"/>
              <w:rPr>
                <w:rFonts w:eastAsia="宋体"/>
                <w:bCs/>
                <w:sz w:val="24"/>
                <w:szCs w:val="24"/>
              </w:rPr>
            </w:pPr>
            <w:r>
              <w:rPr>
                <w:rFonts w:eastAsia="宋体"/>
                <w:bCs/>
                <w:sz w:val="24"/>
                <w:szCs w:val="24"/>
              </w:rPr>
              <w:t>本项目用水来自区域自来水管网，用电由市政电网供给，不会达到资源利用上线；项目用地为商业用地，符合当地土地规划要求，亦不会达到资源利用上线。</w:t>
            </w:r>
          </w:p>
          <w:p>
            <w:pPr>
              <w:adjustRightInd w:val="0"/>
              <w:snapToGrid w:val="0"/>
              <w:ind w:firstLine="480" w:firstLineChars="200"/>
              <w:rPr>
                <w:rFonts w:eastAsia="宋体"/>
                <w:bCs/>
                <w:sz w:val="24"/>
                <w:szCs w:val="24"/>
              </w:rPr>
            </w:pPr>
            <w:r>
              <w:rPr>
                <w:rFonts w:eastAsia="宋体"/>
                <w:bCs/>
                <w:sz w:val="24"/>
                <w:szCs w:val="24"/>
              </w:rPr>
              <w:t>（4）环境准入负面清单</w:t>
            </w:r>
          </w:p>
          <w:p>
            <w:pPr>
              <w:adjustRightInd w:val="0"/>
              <w:snapToGrid w:val="0"/>
              <w:ind w:firstLine="480" w:firstLineChars="200"/>
              <w:rPr>
                <w:rFonts w:eastAsia="宋体"/>
                <w:sz w:val="24"/>
                <w:szCs w:val="24"/>
              </w:rPr>
            </w:pPr>
            <w:r>
              <w:rPr>
                <w:rFonts w:eastAsia="宋体"/>
                <w:bCs/>
                <w:sz w:val="24"/>
                <w:szCs w:val="24"/>
              </w:rPr>
              <w:t>项目所在地目前未制定环境准入负面清单，本次环评对照国家及地方产业政策和《市场准入负面清单》进行说明，具体见表1-1</w:t>
            </w:r>
            <w:r>
              <w:rPr>
                <w:rFonts w:hint="eastAsia" w:eastAsia="宋体"/>
                <w:bCs/>
                <w:sz w:val="24"/>
                <w:szCs w:val="24"/>
                <w:lang w:val="en-US" w:eastAsia="zh-CN"/>
              </w:rPr>
              <w:t>0</w:t>
            </w:r>
            <w:r>
              <w:rPr>
                <w:rFonts w:eastAsia="宋体"/>
                <w:bCs/>
                <w:sz w:val="24"/>
                <w:szCs w:val="24"/>
              </w:rPr>
              <w:t>。</w:t>
            </w:r>
          </w:p>
          <w:p>
            <w:pPr>
              <w:pStyle w:val="27"/>
              <w:jc w:val="center"/>
              <w:rPr>
                <w:rFonts w:ascii="Times New Roman"/>
                <w:b/>
                <w:color w:val="auto"/>
              </w:rPr>
            </w:pPr>
            <w:r>
              <w:rPr>
                <w:rFonts w:ascii="Times New Roman"/>
                <w:b/>
                <w:color w:val="auto"/>
              </w:rPr>
              <w:t>表</w:t>
            </w:r>
            <w:r>
              <w:rPr>
                <w:rFonts w:ascii="Times New Roman"/>
                <w:b/>
                <w:bCs/>
                <w:color w:val="auto"/>
              </w:rPr>
              <w:t>1-1</w:t>
            </w:r>
            <w:r>
              <w:rPr>
                <w:rFonts w:hint="eastAsia" w:ascii="Times New Roman"/>
                <w:b/>
                <w:bCs/>
                <w:color w:val="auto"/>
                <w:lang w:val="en-US" w:eastAsia="zh-CN"/>
              </w:rPr>
              <w:t>0</w:t>
            </w:r>
            <w:r>
              <w:rPr>
                <w:rFonts w:ascii="Times New Roman"/>
                <w:b/>
                <w:color w:val="auto"/>
              </w:rPr>
              <w:t>本项目与国家及地方产业政策和《市场准入负面清单》相符性分析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788"/>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内容</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相关性分析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《产业结构调整指导目录（2019年本）》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经查《产业结构调整指导目录（2019年本）》，项目产品、所用设备及工艺均不属于限制类和淘汰类，为允许类，符合该文件要求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《江苏省工业和信息产业结构调整指导目录（2012 年本）》及修订</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经查《江苏省工业和信息产业结构调整指导目录（2012 年本）》及修订，项目产品、所用设备及工艺均不属于限制类和淘汰类，为允许类，符合该文件要求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《限制用地项目目录（2012 年本）》、《禁止用地项目目录（2012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本项目不在《限制用地项目目录（2012 年本）》、《禁止用地项目目录（2012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《江苏省限制用地项目目录（2013 年本）》、《江苏省禁止用地项目目录（2013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本项目不在《江苏省限制用地项目目录（2013 年本）》、《江苏省禁止用地项目目录（2013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《市场准入负面清单（2019年版）》</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经查《市场准入负面清单（2019年版）》，本项目不在其禁止准入类和限制准入类中</w:t>
                  </w:r>
                </w:p>
              </w:tc>
            </w:tr>
          </w:tbl>
          <w:p>
            <w:pPr>
              <w:snapToGrid w:val="0"/>
              <w:spacing w:line="500" w:lineRule="exact"/>
              <w:jc w:val="both"/>
              <w:rPr>
                <w:rFonts w:eastAsia="宋体"/>
                <w:bCs/>
                <w:sz w:val="24"/>
                <w:szCs w:val="24"/>
              </w:rPr>
            </w:pPr>
            <w:r>
              <w:rPr>
                <w:rFonts w:eastAsia="宋体"/>
                <w:bCs/>
                <w:sz w:val="24"/>
                <w:szCs w:val="24"/>
              </w:rPr>
              <w:t>由上表可知，本项目符合国家及地方产业政策和《市场准入负面清单（2019年版）》要求。综上所述，本项目符合“三线一单”要求。</w:t>
            </w:r>
          </w:p>
          <w:p>
            <w:pPr>
              <w:snapToGrid w:val="0"/>
              <w:spacing w:line="500" w:lineRule="exact"/>
              <w:jc w:val="both"/>
              <w:rPr>
                <w:rFonts w:eastAsia="宋体"/>
                <w:b/>
                <w:sz w:val="24"/>
                <w:szCs w:val="24"/>
              </w:rPr>
            </w:pPr>
            <w:r>
              <w:rPr>
                <w:rFonts w:eastAsia="宋体"/>
                <w:b/>
                <w:sz w:val="24"/>
                <w:szCs w:val="24"/>
              </w:rPr>
              <w:t>与本项目有关的原有污染情况及主要环境问题</w:t>
            </w:r>
          </w:p>
          <w:p>
            <w:pPr>
              <w:snapToGrid w:val="0"/>
              <w:spacing w:line="500" w:lineRule="exact"/>
              <w:ind w:right="140" w:rightChars="50" w:firstLine="480" w:firstLineChars="200"/>
              <w:rPr>
                <w:rFonts w:eastAsia="宋体"/>
                <w:sz w:val="24"/>
                <w:szCs w:val="24"/>
              </w:rPr>
            </w:pPr>
            <w:r>
              <w:rPr>
                <w:rFonts w:eastAsia="宋体"/>
                <w:sz w:val="24"/>
                <w:szCs w:val="24"/>
              </w:rPr>
              <w:t>项目</w:t>
            </w:r>
            <w:r>
              <w:rPr>
                <w:rFonts w:hint="eastAsia" w:eastAsia="宋体"/>
                <w:sz w:val="24"/>
                <w:szCs w:val="24"/>
              </w:rPr>
              <w:t>未</w:t>
            </w:r>
            <w:r>
              <w:rPr>
                <w:rFonts w:eastAsia="宋体"/>
                <w:sz w:val="24"/>
                <w:szCs w:val="24"/>
              </w:rPr>
              <w:t>做过</w:t>
            </w:r>
            <w:r>
              <w:rPr>
                <w:rFonts w:hint="eastAsia" w:eastAsia="宋体"/>
                <w:sz w:val="24"/>
                <w:szCs w:val="24"/>
              </w:rPr>
              <w:t>手续</w:t>
            </w:r>
            <w:r>
              <w:rPr>
                <w:rFonts w:eastAsia="宋体"/>
                <w:sz w:val="24"/>
                <w:szCs w:val="24"/>
              </w:rPr>
              <w:t>，如今重新补办环评手续，以便解决现存环保问题。</w:t>
            </w:r>
          </w:p>
        </w:tc>
      </w:tr>
    </w:tbl>
    <w:p>
      <w:pPr>
        <w:rPr>
          <w:rFonts w:eastAsia="宋体"/>
          <w:b/>
          <w:szCs w:val="28"/>
        </w:rPr>
        <w:sectPr>
          <w:footerReference r:id="rId6" w:type="default"/>
          <w:pgSz w:w="11907" w:h="16840"/>
          <w:pgMar w:top="1418" w:right="1418" w:bottom="1418" w:left="1418" w:header="851" w:footer="992" w:gutter="0"/>
          <w:pgNumType w:start="1"/>
          <w:cols w:space="720" w:num="1"/>
          <w:docGrid w:linePitch="387" w:charSpace="-5735"/>
        </w:sectPr>
      </w:pPr>
    </w:p>
    <w:p>
      <w:pPr>
        <w:outlineLvl w:val="0"/>
        <w:rPr>
          <w:rFonts w:eastAsia="宋体"/>
          <w:b/>
        </w:rPr>
      </w:pPr>
      <w:r>
        <w:rPr>
          <w:rFonts w:eastAsia="宋体"/>
          <w:b/>
        </w:rPr>
        <w:t>二、建设项目所在地自然环境社会环境简况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071" w:type="dxa"/>
          </w:tcPr>
          <w:p>
            <w:pPr>
              <w:adjustRightInd w:val="0"/>
              <w:snapToGrid w:val="0"/>
              <w:spacing w:before="100" w:beforeAutospacing="1" w:after="100" w:afterAutospacing="1" w:line="400" w:lineRule="exact"/>
              <w:rPr>
                <w:rFonts w:eastAsia="宋体"/>
                <w:b/>
                <w:sz w:val="24"/>
                <w:szCs w:val="24"/>
              </w:rPr>
            </w:pPr>
            <w:r>
              <w:rPr>
                <w:rFonts w:eastAsia="宋体"/>
                <w:b/>
                <w:sz w:val="24"/>
                <w:szCs w:val="24"/>
              </w:rPr>
              <w:t>2.1自然环境简况(地形、地貌、地质、气候、气象、水文、植被、生物多样性等)：</w:t>
            </w:r>
          </w:p>
          <w:p>
            <w:pPr>
              <w:spacing w:before="240" w:beforeLines="100" w:after="120" w:afterLines="50"/>
              <w:ind w:left="420"/>
              <w:rPr>
                <w:rFonts w:eastAsia="宋体"/>
                <w:sz w:val="24"/>
                <w:szCs w:val="24"/>
              </w:rPr>
            </w:pPr>
            <w:r>
              <w:rPr>
                <w:rFonts w:eastAsia="宋体"/>
                <w:sz w:val="24"/>
                <w:szCs w:val="24"/>
              </w:rPr>
              <w:t>2.1.1</w:t>
            </w:r>
            <w:r>
              <w:rPr>
                <w:rFonts w:hint="eastAsia" w:eastAsia="宋体"/>
                <w:sz w:val="24"/>
                <w:szCs w:val="24"/>
              </w:rPr>
              <w:t>地理位置</w:t>
            </w:r>
          </w:p>
          <w:p>
            <w:pPr>
              <w:pStyle w:val="27"/>
              <w:ind w:firstLine="480" w:firstLineChars="200"/>
              <w:rPr>
                <w:rFonts w:ascii="Times New Roman"/>
                <w:bCs/>
                <w:color w:val="auto"/>
                <w:kern w:val="2"/>
              </w:rPr>
            </w:pPr>
            <w:r>
              <w:rPr>
                <w:rFonts w:hint="eastAsia" w:ascii="Times New Roman"/>
                <w:bCs/>
                <w:color w:val="auto"/>
                <w:kern w:val="2"/>
              </w:rPr>
              <w:t>沭阳位于江苏省北部，地理坐标介于北纬 33°53'至 34°25'，东经 118°30'至 119°10'之间，东与连云港接壤，南与淮安市毗邻，西倚宿迁，北接徐州，是徐、连、淮、宿四市结合部。沭阳县交通便利，新长铁路以及京沪高速公路、205 国道、304 省道、307 省道穿境而过。沭阳距徐州观音国际机场 120 公里，距连云港机场 55 公里。沭阳县水路畅通，新沂河横贯东西，淮沭新河纵穿南北。我省 20 大内河港口之一的沭阳港，年吞吐量在 300 万吨以上，过淮沭河与长江连接，经沭新河、蔷薇河、古泊河达连云港港口。目前，沭阳县初步形成了站埠均衡、水陆交错的交通格局。公司坐落于沭阳县青岛路北侧民政局老年公寓东侧，地理中心坐标为：经度 118.7742305纬度34.14003。公司具体地理位置见附图一。</w:t>
            </w:r>
          </w:p>
          <w:p>
            <w:pPr>
              <w:spacing w:before="120" w:beforeLines="50" w:after="120" w:afterLines="50"/>
              <w:ind w:left="420"/>
              <w:rPr>
                <w:rFonts w:eastAsia="宋体"/>
                <w:sz w:val="24"/>
                <w:szCs w:val="24"/>
              </w:rPr>
            </w:pPr>
            <w:r>
              <w:rPr>
                <w:rFonts w:eastAsia="宋体"/>
                <w:sz w:val="24"/>
                <w:szCs w:val="24"/>
              </w:rPr>
              <w:t>2.1.2</w:t>
            </w:r>
            <w:r>
              <w:rPr>
                <w:rFonts w:hint="eastAsia" w:eastAsia="宋体"/>
                <w:sz w:val="24"/>
                <w:szCs w:val="24"/>
              </w:rPr>
              <w:t>地形、地质</w:t>
            </w:r>
          </w:p>
          <w:p>
            <w:pPr>
              <w:snapToGrid w:val="0"/>
              <w:spacing w:before="120" w:beforeLines="50" w:after="120" w:afterLines="50"/>
              <w:ind w:firstLine="480" w:firstLineChars="200"/>
              <w:rPr>
                <w:rFonts w:eastAsia="宋体"/>
                <w:bCs/>
                <w:sz w:val="24"/>
                <w:szCs w:val="24"/>
              </w:rPr>
            </w:pPr>
            <w:r>
              <w:rPr>
                <w:rFonts w:hint="eastAsia" w:eastAsia="宋体"/>
                <w:bCs/>
                <w:sz w:val="24"/>
                <w:szCs w:val="24"/>
              </w:rPr>
              <w:t>沭阳县地处黄淮平原，位于江苏省北部，隶属宿迁市，地势西高东低，大部分地面高程在 4.5－7 米。县内最高峰韩山海拨 70 米，除潼阳、茆圩、刘集、悦来等乡镇有些岗岭外，土地平衍，河网密布。地势由南向北略有倾斜，地形呈不规则方形。沂北区所在区域内地势低平，平原广阔。西南部属岗岭地带，最高处海拨 22.70 米，东北部地势低洼，最低处海拨 1.5 米。境内有韩山、万山、孤山等低丘。土质方面：河土 16%，碱土 9%，岗土和淤土 55%，其它占 10%。区域地质稳定性相对较好。根据《中国地震动参数区划图》（GB18306-2001），工程区地震基本烈度为Ⅶ度。</w:t>
            </w:r>
          </w:p>
          <w:p>
            <w:pPr>
              <w:snapToGrid w:val="0"/>
              <w:spacing w:before="120" w:beforeLines="50" w:after="120" w:afterLines="50"/>
              <w:ind w:firstLine="480" w:firstLineChars="200"/>
              <w:rPr>
                <w:rFonts w:eastAsia="宋体"/>
                <w:sz w:val="24"/>
                <w:szCs w:val="24"/>
              </w:rPr>
            </w:pPr>
            <w:r>
              <w:rPr>
                <w:rFonts w:eastAsia="宋体"/>
                <w:sz w:val="24"/>
                <w:szCs w:val="24"/>
              </w:rPr>
              <w:t>2.1.3</w:t>
            </w:r>
            <w:r>
              <w:rPr>
                <w:rFonts w:hint="eastAsia" w:eastAsia="宋体"/>
                <w:sz w:val="24"/>
                <w:szCs w:val="24"/>
              </w:rPr>
              <w:t>气候、气象</w:t>
            </w:r>
          </w:p>
          <w:p>
            <w:pPr>
              <w:widowControl w:val="0"/>
              <w:adjustRightInd w:val="0"/>
              <w:snapToGrid w:val="0"/>
              <w:spacing w:before="240" w:beforeLines="100"/>
              <w:ind w:firstLine="480" w:firstLineChars="200"/>
              <w:rPr>
                <w:rFonts w:eastAsia="宋体"/>
                <w:bCs/>
                <w:sz w:val="24"/>
                <w:szCs w:val="24"/>
              </w:rPr>
            </w:pPr>
            <w:r>
              <w:rPr>
                <w:rFonts w:hint="eastAsia" w:eastAsia="宋体"/>
                <w:bCs/>
                <w:sz w:val="24"/>
                <w:szCs w:val="24"/>
              </w:rPr>
              <w:t>沭阳地处北亚热带和南暖温带的过渡区，属于暖湿季风气候，全境气候温和，四季分明，日照充足，雨量丰沛。常年气温平均为 13.8℃，年极端最高气温 38℃，年极端最低气温-18℃；全年平均降雨量 937.6mm，多集中于 7-9 月份。常年主导风向为东南风，次主导风向为东北风。其主要气象特征见表 2-1。</w:t>
            </w:r>
          </w:p>
          <w:p>
            <w:pPr>
              <w:widowControl w:val="0"/>
              <w:adjustRightInd w:val="0"/>
              <w:snapToGrid w:val="0"/>
              <w:ind w:firstLine="562" w:firstLineChars="200"/>
              <w:jc w:val="center"/>
              <w:rPr>
                <w:rFonts w:eastAsia="宋体"/>
                <w:b/>
                <w:color w:val="000000" w:themeColor="text1"/>
                <w:szCs w:val="24"/>
              </w:rPr>
            </w:pPr>
            <w:r>
              <w:rPr>
                <w:rFonts w:eastAsia="宋体"/>
                <w:b/>
                <w:color w:val="000000" w:themeColor="text1"/>
                <w:szCs w:val="24"/>
              </w:rPr>
              <w:t>表2-1  区域气象特征参数表</w:t>
            </w:r>
          </w:p>
          <w:tbl>
            <w:tblPr>
              <w:tblStyle w:val="2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2794"/>
              <w:gridCol w:w="2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30" w:type="dxa"/>
                  <w:gridSpan w:val="2"/>
                  <w:tcBorders>
                    <w:bottom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气象要素</w:t>
                  </w:r>
                </w:p>
              </w:tc>
              <w:tc>
                <w:tcPr>
                  <w:tcW w:w="2776" w:type="dxa"/>
                  <w:tcBorders>
                    <w:bottom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气温</w:t>
                  </w:r>
                </w:p>
              </w:tc>
              <w:tc>
                <w:tcPr>
                  <w:tcW w:w="2794" w:type="dxa"/>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多年平均气温（℃）</w:t>
                  </w:r>
                </w:p>
              </w:tc>
              <w:tc>
                <w:tcPr>
                  <w:tcW w:w="2776" w:type="dxa"/>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极端最低气温（℃）</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-13.</w:t>
                  </w:r>
                  <w:r>
                    <w:rPr>
                      <w:rFonts w:hint="eastAsia" w:eastAsia="宋体"/>
                      <w:color w:val="000000" w:themeColor="text1"/>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极端最高气温（℃）</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湿度</w:t>
                  </w: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历年平均相对湿度（%）</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both"/>
                    <w:rPr>
                      <w:rFonts w:eastAsia="宋体"/>
                      <w:color w:val="000000" w:themeColor="text1"/>
                      <w:sz w:val="21"/>
                      <w:szCs w:val="21"/>
                    </w:rPr>
                  </w:pPr>
                  <w:r>
                    <w:rPr>
                      <w:rFonts w:hint="eastAsia" w:eastAsia="宋体"/>
                      <w:color w:val="000000" w:themeColor="text1"/>
                      <w:sz w:val="21"/>
                      <w:szCs w:val="21"/>
                    </w:rPr>
                    <w:t>最热月平均</w:t>
                  </w:r>
                  <w:r>
                    <w:rPr>
                      <w:rFonts w:eastAsia="宋体"/>
                      <w:color w:val="000000" w:themeColor="text1"/>
                      <w:sz w:val="21"/>
                      <w:szCs w:val="21"/>
                    </w:rPr>
                    <w:t>相对湿度（%）</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降</w:t>
                  </w:r>
                  <w:r>
                    <w:rPr>
                      <w:rFonts w:hint="eastAsia" w:eastAsia="宋体"/>
                      <w:color w:val="000000" w:themeColor="text1"/>
                      <w:sz w:val="21"/>
                      <w:szCs w:val="21"/>
                    </w:rPr>
                    <w:t>雨</w:t>
                  </w:r>
                  <w:r>
                    <w:rPr>
                      <w:rFonts w:eastAsia="宋体"/>
                      <w:color w:val="000000" w:themeColor="text1"/>
                      <w:sz w:val="21"/>
                      <w:szCs w:val="21"/>
                    </w:rPr>
                    <w:t>量</w:t>
                  </w: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最大降雨量（mm）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1647.1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最小降雨量（mm）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573.9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多年平均降雨量（mm）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900.6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降雪量</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最大积雪深度</w:t>
                  </w:r>
                  <w:r>
                    <w:rPr>
                      <w:rFonts w:eastAsia="宋体"/>
                      <w:color w:val="000000" w:themeColor="text1"/>
                      <w:sz w:val="21"/>
                      <w:szCs w:val="21"/>
                    </w:rPr>
                    <w:t>（</w:t>
                  </w:r>
                  <w:r>
                    <w:rPr>
                      <w:rFonts w:hint="eastAsia" w:eastAsia="宋体"/>
                      <w:color w:val="000000" w:themeColor="text1"/>
                      <w:sz w:val="21"/>
                      <w:szCs w:val="21"/>
                    </w:rPr>
                    <w:t>c</w:t>
                  </w:r>
                  <w:r>
                    <w:rPr>
                      <w:rFonts w:eastAsia="宋体"/>
                      <w:color w:val="000000" w:themeColor="text1"/>
                      <w:sz w:val="21"/>
                      <w:szCs w:val="21"/>
                    </w:rPr>
                    <w:t>m）</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平均积雪深度</w:t>
                  </w:r>
                  <w:r>
                    <w:rPr>
                      <w:rFonts w:eastAsia="宋体"/>
                      <w:color w:val="000000" w:themeColor="text1"/>
                      <w:sz w:val="21"/>
                      <w:szCs w:val="21"/>
                    </w:rPr>
                    <w:t>（</w:t>
                  </w:r>
                  <w:r>
                    <w:rPr>
                      <w:rFonts w:hint="eastAsia" w:eastAsia="宋体"/>
                      <w:color w:val="000000" w:themeColor="text1"/>
                      <w:sz w:val="21"/>
                      <w:szCs w:val="21"/>
                    </w:rPr>
                    <w:t>c</w:t>
                  </w:r>
                  <w:r>
                    <w:rPr>
                      <w:rFonts w:eastAsia="宋体"/>
                      <w:color w:val="000000" w:themeColor="text1"/>
                      <w:sz w:val="21"/>
                      <w:szCs w:val="21"/>
                    </w:rPr>
                    <w:t>m）</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全年平均积雪日数</w:t>
                  </w:r>
                  <w:r>
                    <w:rPr>
                      <w:rFonts w:eastAsia="宋体"/>
                      <w:color w:val="000000" w:themeColor="text1"/>
                      <w:sz w:val="21"/>
                      <w:szCs w:val="21"/>
                    </w:rPr>
                    <w:t>（</w:t>
                  </w:r>
                  <w:r>
                    <w:rPr>
                      <w:rFonts w:hint="eastAsia" w:eastAsia="宋体"/>
                      <w:color w:val="000000" w:themeColor="text1"/>
                      <w:sz w:val="21"/>
                      <w:szCs w:val="21"/>
                    </w:rPr>
                    <w:t>d</w:t>
                  </w:r>
                  <w:r>
                    <w:rPr>
                      <w:rFonts w:eastAsia="宋体"/>
                      <w:color w:val="000000" w:themeColor="text1"/>
                      <w:sz w:val="21"/>
                      <w:szCs w:val="21"/>
                    </w:rPr>
                    <w:t>）</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风</w:t>
                  </w:r>
                  <w:r>
                    <w:rPr>
                      <w:rFonts w:hint="eastAsia" w:eastAsia="宋体"/>
                      <w:color w:val="000000" w:themeColor="text1"/>
                      <w:sz w:val="21"/>
                      <w:szCs w:val="21"/>
                    </w:rPr>
                    <w:t>向、频率</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年主导风向</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SE10.71%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风速</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年平均风速</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2.8m/s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气压</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年平均大气压</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1015.9mbar</w:t>
                  </w:r>
                </w:p>
              </w:tc>
            </w:tr>
          </w:tbl>
          <w:p>
            <w:pPr>
              <w:snapToGrid w:val="0"/>
              <w:ind w:firstLine="480" w:firstLineChars="200"/>
              <w:rPr>
                <w:rFonts w:eastAsia="宋体"/>
                <w:sz w:val="24"/>
                <w:szCs w:val="24"/>
              </w:rPr>
            </w:pPr>
            <w:r>
              <w:rPr>
                <w:rFonts w:eastAsia="宋体"/>
                <w:sz w:val="24"/>
                <w:szCs w:val="24"/>
              </w:rPr>
              <w:t>2.1.4</w:t>
            </w:r>
            <w:r>
              <w:rPr>
                <w:rFonts w:hint="eastAsia" w:eastAsia="宋体"/>
                <w:sz w:val="24"/>
                <w:szCs w:val="24"/>
              </w:rPr>
              <w:t>水文概况</w:t>
            </w:r>
          </w:p>
          <w:p>
            <w:pPr>
              <w:snapToGrid w:val="0"/>
              <w:ind w:firstLine="480" w:firstLineChars="200"/>
              <w:rPr>
                <w:rFonts w:eastAsia="宋体"/>
                <w:sz w:val="24"/>
                <w:szCs w:val="24"/>
              </w:rPr>
            </w:pPr>
            <w:r>
              <w:rPr>
                <w:rFonts w:hint="eastAsia" w:eastAsia="宋体"/>
                <w:sz w:val="24"/>
                <w:szCs w:val="24"/>
              </w:rPr>
              <w:t>沭阳县地处淮、沂、沭、泗水系下游，地势低洼，过境水水量较大。境内河流较多，主要有淮沭河、新沂河和沂南河等。</w:t>
            </w:r>
          </w:p>
          <w:p>
            <w:pPr>
              <w:snapToGrid w:val="0"/>
              <w:ind w:firstLine="480" w:firstLineChars="200"/>
              <w:rPr>
                <w:rFonts w:eastAsia="宋体"/>
                <w:sz w:val="24"/>
                <w:szCs w:val="24"/>
              </w:rPr>
            </w:pPr>
            <w:r>
              <w:rPr>
                <w:rFonts w:hint="eastAsia" w:eastAsia="宋体"/>
                <w:sz w:val="24"/>
                <w:szCs w:val="24"/>
              </w:rPr>
              <w:t>（1）淮沭河</w:t>
            </w:r>
          </w:p>
          <w:p>
            <w:pPr>
              <w:snapToGrid w:val="0"/>
              <w:ind w:firstLine="480" w:firstLineChars="200"/>
              <w:rPr>
                <w:rFonts w:eastAsia="宋体"/>
                <w:sz w:val="24"/>
                <w:szCs w:val="24"/>
              </w:rPr>
            </w:pPr>
            <w:r>
              <w:rPr>
                <w:rFonts w:hint="eastAsia" w:eastAsia="宋体"/>
                <w:sz w:val="24"/>
                <w:szCs w:val="24"/>
              </w:rPr>
              <w:t>淮沭河是沭阳县境内的主要河流之一，它的上游源于洪泽湖，途经淮安、泗阳、沭阳和东海等县，在连云港市境内汇入黄海。该河由沭阳县城区的西部流过，与新沂河的南偏泓汇合。淮沭河河面宽 1.4km，河道设计流量为 3000m</w:t>
            </w:r>
            <w:r>
              <w:rPr>
                <w:rFonts w:hint="eastAsia" w:eastAsia="宋体"/>
                <w:sz w:val="24"/>
                <w:szCs w:val="24"/>
                <w:vertAlign w:val="superscript"/>
              </w:rPr>
              <w:t>3</w:t>
            </w:r>
            <w:r>
              <w:rPr>
                <w:rFonts w:hint="eastAsia" w:eastAsia="宋体"/>
                <w:sz w:val="24"/>
                <w:szCs w:val="24"/>
              </w:rPr>
              <w:t>/s，枯水期最小流量为2.21m</w:t>
            </w:r>
            <w:r>
              <w:rPr>
                <w:rFonts w:hint="eastAsia" w:eastAsia="宋体"/>
                <w:sz w:val="24"/>
                <w:szCs w:val="24"/>
                <w:vertAlign w:val="superscript"/>
              </w:rPr>
              <w:t>3</w:t>
            </w:r>
            <w:r>
              <w:rPr>
                <w:rFonts w:hint="eastAsia" w:eastAsia="宋体"/>
                <w:sz w:val="24"/>
                <w:szCs w:val="24"/>
              </w:rPr>
              <w:t>/s，六级航道，最高水位为 11.81m，最低水位为 6.51m，基本无结冰期。</w:t>
            </w:r>
          </w:p>
          <w:p>
            <w:pPr>
              <w:snapToGrid w:val="0"/>
              <w:ind w:firstLine="480" w:firstLineChars="200"/>
              <w:rPr>
                <w:rFonts w:eastAsia="宋体"/>
                <w:sz w:val="24"/>
                <w:szCs w:val="24"/>
              </w:rPr>
            </w:pPr>
            <w:r>
              <w:rPr>
                <w:rFonts w:hint="eastAsia" w:eastAsia="宋体"/>
                <w:sz w:val="24"/>
                <w:szCs w:val="24"/>
              </w:rPr>
              <w:t>淮沭河与新沂河南偏泓交汇处上游约 5km 处，建有沭阳闸，该闸对淮沭河的流量进行适时的调节。淮沭河与新沂河交汇处有一穿过新沂河的河底地涵，该地涵引部分淮沭河清水，经淮沭新河向连云港市的蔷薇河提供清水，这就是苏北地区近年完成的“蔷薇河送清水工程”。</w:t>
            </w:r>
          </w:p>
          <w:p>
            <w:pPr>
              <w:snapToGrid w:val="0"/>
              <w:ind w:firstLine="480" w:firstLineChars="200"/>
              <w:rPr>
                <w:rFonts w:eastAsia="宋体"/>
                <w:sz w:val="24"/>
                <w:szCs w:val="24"/>
              </w:rPr>
            </w:pPr>
            <w:r>
              <w:rPr>
                <w:rFonts w:hint="eastAsia" w:eastAsia="宋体"/>
                <w:sz w:val="24"/>
                <w:szCs w:val="24"/>
              </w:rPr>
              <w:t>（2）新沂河</w:t>
            </w:r>
          </w:p>
          <w:p>
            <w:pPr>
              <w:snapToGrid w:val="0"/>
              <w:ind w:firstLine="480" w:firstLineChars="200"/>
              <w:rPr>
                <w:rFonts w:eastAsia="宋体"/>
                <w:sz w:val="24"/>
                <w:szCs w:val="24"/>
              </w:rPr>
            </w:pPr>
            <w:r>
              <w:rPr>
                <w:rFonts w:hint="eastAsia" w:eastAsia="宋体"/>
                <w:sz w:val="24"/>
                <w:szCs w:val="24"/>
              </w:rPr>
              <w:t>新沂河是沭阳县境内最大的河流，由颜集入境，横穿沭阳县中部，经灌南、灌云等县流入黄海，流经沭阳县境内的长度为 60km，是该县泄洪、排涝、灌溉的主要河流，年径流量 59.14 亿m</w:t>
            </w:r>
            <w:r>
              <w:rPr>
                <w:rFonts w:hint="eastAsia" w:eastAsia="宋体"/>
                <w:sz w:val="24"/>
                <w:szCs w:val="24"/>
                <w:vertAlign w:val="superscript"/>
              </w:rPr>
              <w:t>3</w:t>
            </w:r>
            <w:r>
              <w:rPr>
                <w:rFonts w:hint="eastAsia" w:eastAsia="宋体"/>
                <w:sz w:val="24"/>
                <w:szCs w:val="24"/>
              </w:rPr>
              <w:t>，河宽 1100-1400m，设计流量为 6000m</w:t>
            </w:r>
            <w:r>
              <w:rPr>
                <w:rFonts w:hint="eastAsia" w:eastAsia="宋体"/>
                <w:sz w:val="24"/>
                <w:szCs w:val="24"/>
                <w:vertAlign w:val="superscript"/>
              </w:rPr>
              <w:t>3</w:t>
            </w:r>
            <w:r>
              <w:rPr>
                <w:rFonts w:hint="eastAsia" w:eastAsia="宋体"/>
                <w:sz w:val="24"/>
                <w:szCs w:val="24"/>
              </w:rPr>
              <w:t>/s，最大泄洪量为 7000m</w:t>
            </w:r>
            <w:r>
              <w:rPr>
                <w:rFonts w:hint="eastAsia" w:eastAsia="宋体"/>
                <w:sz w:val="24"/>
                <w:szCs w:val="24"/>
                <w:vertAlign w:val="superscript"/>
              </w:rPr>
              <w:t>3</w:t>
            </w:r>
            <w:r>
              <w:rPr>
                <w:rFonts w:hint="eastAsia" w:eastAsia="宋体"/>
                <w:sz w:val="24"/>
                <w:szCs w:val="24"/>
              </w:rPr>
              <w:t>/s，</w:t>
            </w:r>
          </w:p>
          <w:p>
            <w:pPr>
              <w:snapToGrid w:val="0"/>
              <w:ind w:firstLine="480" w:firstLineChars="200"/>
              <w:rPr>
                <w:rFonts w:eastAsia="宋体"/>
                <w:sz w:val="24"/>
                <w:szCs w:val="24"/>
              </w:rPr>
            </w:pPr>
            <w:r>
              <w:rPr>
                <w:rFonts w:hint="eastAsia" w:eastAsia="宋体"/>
                <w:sz w:val="24"/>
                <w:szCs w:val="24"/>
              </w:rPr>
              <w:t>最高水位为 10.76m，最低水位为 4.25m。枯水季节，新沂河分割为三条河流，即北偏泓、中泓和南偏泓，行洪时，三条河流汇合成一条大河。</w:t>
            </w:r>
          </w:p>
          <w:p>
            <w:pPr>
              <w:snapToGrid w:val="0"/>
              <w:ind w:firstLine="480" w:firstLineChars="200"/>
              <w:rPr>
                <w:rFonts w:eastAsia="宋体"/>
                <w:sz w:val="24"/>
                <w:szCs w:val="24"/>
              </w:rPr>
            </w:pPr>
            <w:r>
              <w:rPr>
                <w:rFonts w:hint="eastAsia" w:eastAsia="宋体"/>
                <w:sz w:val="24"/>
                <w:szCs w:val="24"/>
              </w:rPr>
              <w:t>（3）沂南河</w:t>
            </w:r>
          </w:p>
          <w:p>
            <w:pPr>
              <w:snapToGrid w:val="0"/>
              <w:ind w:firstLine="480" w:firstLineChars="200"/>
              <w:rPr>
                <w:rFonts w:eastAsia="宋体"/>
                <w:sz w:val="24"/>
                <w:szCs w:val="24"/>
              </w:rPr>
            </w:pPr>
            <w:r>
              <w:rPr>
                <w:rFonts w:hint="eastAsia" w:eastAsia="宋体"/>
                <w:sz w:val="24"/>
                <w:szCs w:val="24"/>
              </w:rPr>
              <w:t>位于新沂河南堤外侧，离堤角 60m，是一条平行于新沂河的排涝河道，全长 48.5km，境内长 35km。其流域范围南起柴沂干渠，北到新沂河，面积为 247 平方千米。沂南河流域排涝原是由官田河、港河、万公河、叮当河向北，经前蔷薇河、卓王河、泊阳河、善后河出海。1950 年新沂河建成后，将这些河道切断，在开挖新沂河的同时，就将沂南河作为新沂河的附属工程同时兴建，以解决该区域的排水出路问题。沂南河是由沭阳及灌云两县共同完成的平地开河。沂南河流域地势极为平坦，从西官至盐河近 40km 距离，地面高差仅 1.0 米，即平均地面坡降不到 1/30000。沂南河属于江苏省骨干河道，在江苏省骨干河道名录中，沂南河河道功能为排涝，河道等级为 5 级。沂南河是沭阳县城区以及工业园南区和北区输送污水的唯一排海通道，目前基本上接纳了城区的全部污水。</w:t>
            </w:r>
          </w:p>
          <w:p>
            <w:pPr>
              <w:snapToGrid w:val="0"/>
              <w:ind w:firstLine="480" w:firstLineChars="200"/>
              <w:rPr>
                <w:rFonts w:eastAsia="宋体"/>
                <w:sz w:val="24"/>
                <w:szCs w:val="24"/>
              </w:rPr>
            </w:pPr>
            <w:r>
              <w:rPr>
                <w:rFonts w:hint="eastAsia" w:eastAsia="宋体"/>
                <w:sz w:val="24"/>
                <w:szCs w:val="24"/>
              </w:rPr>
              <w:t>（4）岔流河</w:t>
            </w:r>
          </w:p>
          <w:p>
            <w:pPr>
              <w:snapToGrid w:val="0"/>
              <w:ind w:firstLine="480" w:firstLineChars="200"/>
              <w:rPr>
                <w:rFonts w:eastAsia="宋体"/>
                <w:sz w:val="24"/>
                <w:szCs w:val="24"/>
              </w:rPr>
            </w:pPr>
            <w:r>
              <w:rPr>
                <w:rFonts w:hint="eastAsia" w:eastAsia="宋体"/>
                <w:sz w:val="24"/>
                <w:szCs w:val="24"/>
              </w:rPr>
              <w:t>岔流河发源于高流二湖水库流经沭阳县新河、潼阳、扎下等乡镇，由扎下王庄闸进入新沂河（南偏泓）。沭新河属于新沂河的一支流，其起源于沭阳县扎下沂北闸，流经扎下、贤官，主要用于泄洪、排涝、送水灌溉。开闸状态下，涨潮流速 0.05m/s、流量7.35m</w:t>
            </w:r>
            <w:r>
              <w:rPr>
                <w:rFonts w:hint="eastAsia" w:eastAsia="宋体"/>
                <w:sz w:val="24"/>
                <w:szCs w:val="24"/>
                <w:vertAlign w:val="superscript"/>
              </w:rPr>
              <w:t>3</w:t>
            </w:r>
            <w:r>
              <w:rPr>
                <w:rFonts w:hint="eastAsia" w:eastAsia="宋体"/>
                <w:sz w:val="24"/>
                <w:szCs w:val="24"/>
              </w:rPr>
              <w:t>/s，落潮流速 1.0m/s、流量 105.6m</w:t>
            </w:r>
            <w:r>
              <w:rPr>
                <w:rFonts w:hint="eastAsia" w:eastAsia="宋体"/>
                <w:sz w:val="24"/>
                <w:szCs w:val="24"/>
                <w:vertAlign w:val="superscript"/>
              </w:rPr>
              <w:t>3</w:t>
            </w:r>
            <w:r>
              <w:rPr>
                <w:rFonts w:hint="eastAsia" w:eastAsia="宋体"/>
                <w:sz w:val="24"/>
                <w:szCs w:val="24"/>
              </w:rPr>
              <w:t>/s。</w:t>
            </w:r>
          </w:p>
          <w:p>
            <w:pPr>
              <w:snapToGrid w:val="0"/>
              <w:ind w:firstLine="480" w:firstLineChars="200"/>
              <w:rPr>
                <w:rFonts w:eastAsia="宋体"/>
                <w:sz w:val="24"/>
                <w:szCs w:val="24"/>
              </w:rPr>
            </w:pPr>
            <w:r>
              <w:rPr>
                <w:rFonts w:hint="eastAsia" w:eastAsia="宋体"/>
                <w:sz w:val="24"/>
                <w:szCs w:val="24"/>
              </w:rPr>
              <w:t>（5）蔷薇河</w:t>
            </w:r>
          </w:p>
          <w:p>
            <w:pPr>
              <w:snapToGrid w:val="0"/>
              <w:ind w:firstLine="480" w:firstLineChars="200"/>
              <w:rPr>
                <w:rFonts w:eastAsia="宋体"/>
                <w:sz w:val="24"/>
                <w:szCs w:val="24"/>
              </w:rPr>
            </w:pPr>
            <w:r>
              <w:rPr>
                <w:rFonts w:hint="eastAsia" w:eastAsia="宋体"/>
                <w:sz w:val="24"/>
                <w:szCs w:val="24"/>
              </w:rPr>
              <w:t>蔷薇河发源于徐州市的马陵山、踢球山，横跨新沂、沭阳、东海县和连云港市区四个县市，于东海县浦南镇太平庄处与新沭河交汇入临洪河。蔷薇河水质较好，稳定保持在国家饮用水三类以上标准。</w:t>
            </w:r>
          </w:p>
          <w:p>
            <w:pPr>
              <w:snapToGrid w:val="0"/>
              <w:ind w:firstLine="480" w:firstLineChars="200"/>
              <w:rPr>
                <w:rFonts w:eastAsia="宋体"/>
                <w:sz w:val="24"/>
                <w:szCs w:val="24"/>
              </w:rPr>
            </w:pPr>
            <w:r>
              <w:rPr>
                <w:rFonts w:hint="eastAsia" w:eastAsia="宋体"/>
                <w:sz w:val="24"/>
                <w:szCs w:val="24"/>
              </w:rPr>
              <w:t>2.1.5植被生物多样性</w:t>
            </w:r>
          </w:p>
          <w:p>
            <w:pPr>
              <w:adjustRightInd w:val="0"/>
              <w:snapToGrid w:val="0"/>
              <w:rPr>
                <w:rFonts w:eastAsia="宋体"/>
                <w:bCs/>
                <w:sz w:val="24"/>
                <w:szCs w:val="24"/>
              </w:rPr>
            </w:pPr>
            <w:r>
              <w:rPr>
                <w:rFonts w:hint="eastAsia" w:eastAsia="宋体"/>
                <w:bCs/>
                <w:sz w:val="24"/>
                <w:szCs w:val="24"/>
              </w:rPr>
              <w:t>（1）陆地生态</w:t>
            </w:r>
          </w:p>
          <w:p>
            <w:pPr>
              <w:adjustRightInd w:val="0"/>
              <w:snapToGrid w:val="0"/>
              <w:ind w:firstLine="480" w:firstLineChars="200"/>
              <w:rPr>
                <w:rFonts w:eastAsia="宋体"/>
                <w:bCs/>
                <w:sz w:val="24"/>
                <w:szCs w:val="24"/>
              </w:rPr>
            </w:pPr>
            <w:r>
              <w:rPr>
                <w:rFonts w:hint="eastAsia" w:eastAsia="宋体"/>
                <w:bCs/>
                <w:sz w:val="24"/>
                <w:szCs w:val="24"/>
              </w:rPr>
              <w:t>沭阳县城区和经济开发区周围的陆地生态环境为农业型生态环境，植被以农作物为主；农田用地分析，目前主要农作物为水稻、小麦、玉米、棉花、大豆、油菜、山芋、花生等；植被以杨类占优势的暖温带落叶林为主，85％以上。其他树种有刺槐、中国槐、臭椿、柳、榆、桑、泡桐等；南方亚热带树种有山杨、刺楸等；果树有李、桃、杏、苹果、梨、枣、葡萄等；灌木有紫穗槐、野蔷薇、山胡椒等；长绿灌木有小叶女贞、刚竹、淡竹、紫竹等；藤本植物有木通、爬山虎、南蛇藤等；草本有狗尾草、蒲公英、苍耳等。项目所在地已无大型野生动物存在，尚存的野生动物仅为鸟类、鼠类、蛙类和蛇类等，境内主要的动物为人工饲养的家禽、家畜。</w:t>
            </w:r>
          </w:p>
          <w:p>
            <w:pPr>
              <w:adjustRightInd w:val="0"/>
              <w:snapToGrid w:val="0"/>
              <w:ind w:firstLine="480" w:firstLineChars="200"/>
              <w:rPr>
                <w:rFonts w:eastAsia="宋体"/>
                <w:bCs/>
                <w:sz w:val="24"/>
                <w:szCs w:val="24"/>
              </w:rPr>
            </w:pPr>
            <w:r>
              <w:rPr>
                <w:rFonts w:hint="eastAsia" w:eastAsia="宋体"/>
                <w:bCs/>
                <w:sz w:val="24"/>
                <w:szCs w:val="24"/>
              </w:rPr>
              <w:t>（2）水域</w:t>
            </w:r>
          </w:p>
          <w:p>
            <w:pPr>
              <w:adjustRightInd w:val="0"/>
              <w:snapToGrid w:val="0"/>
              <w:ind w:firstLine="480" w:firstLineChars="200"/>
              <w:rPr>
                <w:rFonts w:eastAsia="宋体"/>
                <w:bCs/>
                <w:sz w:val="24"/>
                <w:szCs w:val="24"/>
              </w:rPr>
            </w:pPr>
            <w:r>
              <w:rPr>
                <w:rFonts w:hint="eastAsia" w:eastAsia="宋体"/>
                <w:bCs/>
                <w:sz w:val="24"/>
                <w:szCs w:val="24"/>
              </w:rPr>
              <w:t>沭阳县境内的河流和湖泊有一定的水产资源，城区附近河段由于人工建闸、筑堤、</w:t>
            </w:r>
          </w:p>
          <w:p>
            <w:pPr>
              <w:adjustRightInd w:val="0"/>
              <w:snapToGrid w:val="0"/>
              <w:rPr>
                <w:rFonts w:eastAsia="宋体"/>
                <w:bCs/>
                <w:sz w:val="24"/>
                <w:szCs w:val="24"/>
              </w:rPr>
            </w:pPr>
            <w:r>
              <w:rPr>
                <w:rFonts w:hint="eastAsia" w:eastAsia="宋体"/>
                <w:bCs/>
                <w:sz w:val="24"/>
                <w:szCs w:val="24"/>
              </w:rPr>
              <w:t>捕捞等活动，加之工农业污水的影响，河中水生生物种类已受到很大影响。</w:t>
            </w:r>
          </w:p>
          <w:p>
            <w:pPr>
              <w:adjustRightInd w:val="0"/>
              <w:snapToGrid w:val="0"/>
              <w:rPr>
                <w:rFonts w:eastAsia="宋体"/>
                <w:bCs/>
                <w:sz w:val="24"/>
                <w:szCs w:val="24"/>
              </w:rPr>
            </w:pPr>
            <w:r>
              <w:rPr>
                <w:rFonts w:hint="eastAsia" w:eastAsia="宋体"/>
                <w:b/>
                <w:sz w:val="24"/>
                <w:szCs w:val="24"/>
              </w:rPr>
              <w:t>沭阳县城中片区简介</w:t>
            </w:r>
          </w:p>
          <w:p>
            <w:pPr>
              <w:adjustRightInd w:val="0"/>
              <w:snapToGrid w:val="0"/>
              <w:ind w:firstLine="480" w:firstLineChars="200"/>
              <w:rPr>
                <w:rFonts w:eastAsia="宋体"/>
                <w:bCs/>
                <w:sz w:val="24"/>
                <w:szCs w:val="24"/>
              </w:rPr>
            </w:pPr>
            <w:r>
              <w:rPr>
                <w:rFonts w:hint="eastAsia" w:eastAsia="宋体"/>
                <w:bCs/>
                <w:sz w:val="24"/>
                <w:szCs w:val="24"/>
              </w:rPr>
              <w:t>一、区位与规划范围</w:t>
            </w:r>
          </w:p>
          <w:p>
            <w:pPr>
              <w:adjustRightInd w:val="0"/>
              <w:snapToGrid w:val="0"/>
              <w:ind w:firstLine="480" w:firstLineChars="200"/>
              <w:rPr>
                <w:rFonts w:eastAsia="宋体"/>
                <w:bCs/>
                <w:sz w:val="24"/>
                <w:szCs w:val="24"/>
              </w:rPr>
            </w:pPr>
            <w:r>
              <w:rPr>
                <w:rFonts w:hint="eastAsia" w:eastAsia="宋体"/>
                <w:bCs/>
                <w:sz w:val="24"/>
                <w:szCs w:val="24"/>
              </w:rPr>
              <w:t>沭阳城中片区东侧紧邻国家级沭阳经济技术开发区，西侧与南部新城由新长铁路相隔，地处台州北路—京沪高速公路以西，新沂河以南、火车线路以东、宿迁大道以北间的区域，是现状沭阳中心城区的主要建成地区，总用地面积30.22平方公里。</w:t>
            </w:r>
          </w:p>
          <w:p>
            <w:pPr>
              <w:adjustRightInd w:val="0"/>
              <w:snapToGrid w:val="0"/>
              <w:ind w:firstLine="480" w:firstLineChars="200"/>
              <w:rPr>
                <w:rFonts w:eastAsia="宋体"/>
                <w:bCs/>
                <w:sz w:val="24"/>
                <w:szCs w:val="24"/>
              </w:rPr>
            </w:pPr>
            <w:r>
              <w:rPr>
                <w:rFonts w:hint="eastAsia" w:eastAsia="宋体"/>
                <w:bCs/>
                <w:sz w:val="24"/>
                <w:szCs w:val="24"/>
              </w:rPr>
              <w:t>二、规划定位</w:t>
            </w:r>
          </w:p>
          <w:p>
            <w:pPr>
              <w:adjustRightInd w:val="0"/>
              <w:snapToGrid w:val="0"/>
              <w:ind w:firstLine="480" w:firstLineChars="200"/>
              <w:rPr>
                <w:rFonts w:eastAsia="宋体"/>
                <w:bCs/>
                <w:sz w:val="24"/>
                <w:szCs w:val="24"/>
              </w:rPr>
            </w:pPr>
            <w:r>
              <w:rPr>
                <w:rFonts w:hint="eastAsia" w:eastAsia="宋体"/>
                <w:bCs/>
                <w:sz w:val="24"/>
                <w:szCs w:val="24"/>
              </w:rPr>
              <w:t>城中片区规划定位为“活力多元的城市商业中心，高质量发展的公共服务集聚区，生态、人文特色鲜明的宜居花园城”。</w:t>
            </w:r>
          </w:p>
          <w:p>
            <w:pPr>
              <w:adjustRightInd w:val="0"/>
              <w:snapToGrid w:val="0"/>
              <w:ind w:firstLine="480" w:firstLineChars="200"/>
              <w:rPr>
                <w:rFonts w:eastAsia="宋体"/>
                <w:bCs/>
                <w:sz w:val="24"/>
                <w:szCs w:val="24"/>
              </w:rPr>
            </w:pPr>
            <w:r>
              <w:rPr>
                <w:rFonts w:hint="eastAsia" w:eastAsia="宋体"/>
                <w:bCs/>
                <w:sz w:val="24"/>
                <w:szCs w:val="24"/>
              </w:rPr>
              <w:t>三、空间结构</w:t>
            </w:r>
          </w:p>
          <w:p>
            <w:pPr>
              <w:adjustRightInd w:val="0"/>
              <w:snapToGrid w:val="0"/>
              <w:ind w:firstLine="480" w:firstLineChars="200"/>
              <w:rPr>
                <w:rFonts w:eastAsia="宋体"/>
                <w:bCs/>
                <w:sz w:val="24"/>
                <w:szCs w:val="24"/>
              </w:rPr>
            </w:pPr>
            <w:r>
              <w:rPr>
                <w:rFonts w:hint="eastAsia" w:eastAsia="宋体"/>
                <w:bCs/>
                <w:sz w:val="24"/>
                <w:szCs w:val="24"/>
              </w:rPr>
              <w:t>规划形成“一核三轴，一带六单元”的空间结构。</w:t>
            </w:r>
          </w:p>
          <w:p>
            <w:pPr>
              <w:adjustRightInd w:val="0"/>
              <w:snapToGrid w:val="0"/>
              <w:ind w:firstLine="480" w:firstLineChars="200"/>
              <w:rPr>
                <w:rFonts w:eastAsia="宋体"/>
                <w:bCs/>
                <w:sz w:val="24"/>
                <w:szCs w:val="24"/>
              </w:rPr>
            </w:pPr>
            <w:r>
              <w:rPr>
                <w:rFonts w:hint="eastAsia" w:eastAsia="宋体"/>
                <w:bCs/>
                <w:sz w:val="24"/>
                <w:szCs w:val="24"/>
              </w:rPr>
              <w:t>一核：城市公共服务核心。</w:t>
            </w:r>
          </w:p>
          <w:p>
            <w:pPr>
              <w:adjustRightInd w:val="0"/>
              <w:snapToGrid w:val="0"/>
              <w:ind w:firstLine="480" w:firstLineChars="200"/>
              <w:rPr>
                <w:rFonts w:eastAsia="宋体"/>
                <w:bCs/>
                <w:sz w:val="24"/>
                <w:szCs w:val="24"/>
              </w:rPr>
            </w:pPr>
            <w:r>
              <w:rPr>
                <w:rFonts w:hint="eastAsia" w:eastAsia="宋体"/>
                <w:bCs/>
                <w:sz w:val="24"/>
                <w:szCs w:val="24"/>
              </w:rPr>
              <w:t>三轴：人民路-迎宾大道发展轴、苏州路发展轴和台州路发展轴。</w:t>
            </w:r>
          </w:p>
          <w:p>
            <w:pPr>
              <w:adjustRightInd w:val="0"/>
              <w:snapToGrid w:val="0"/>
              <w:ind w:firstLine="480" w:firstLineChars="200"/>
              <w:rPr>
                <w:rFonts w:eastAsia="宋体"/>
                <w:bCs/>
                <w:sz w:val="24"/>
                <w:szCs w:val="24"/>
              </w:rPr>
            </w:pPr>
            <w:r>
              <w:rPr>
                <w:rFonts w:hint="eastAsia" w:eastAsia="宋体"/>
                <w:bCs/>
                <w:sz w:val="24"/>
                <w:szCs w:val="24"/>
              </w:rPr>
              <w:t>一带：老沭河生态休闲游憩带。</w:t>
            </w:r>
          </w:p>
          <w:p>
            <w:pPr>
              <w:adjustRightInd w:val="0"/>
              <w:snapToGrid w:val="0"/>
              <w:ind w:firstLine="480" w:firstLineChars="200"/>
              <w:rPr>
                <w:rFonts w:eastAsia="宋体"/>
                <w:bCs/>
                <w:sz w:val="24"/>
                <w:szCs w:val="24"/>
              </w:rPr>
            </w:pPr>
            <w:r>
              <w:rPr>
                <w:rFonts w:hint="eastAsia" w:eastAsia="宋体"/>
                <w:bCs/>
                <w:sz w:val="24"/>
                <w:szCs w:val="24"/>
              </w:rPr>
              <w:t>六单元：包括老城单元、城北单元、圩东单元、河西单元、河东单元和南部单元。</w:t>
            </w:r>
          </w:p>
          <w:p>
            <w:pPr>
              <w:adjustRightInd w:val="0"/>
              <w:snapToGrid w:val="0"/>
              <w:ind w:firstLine="480" w:firstLineChars="200"/>
              <w:rPr>
                <w:rFonts w:eastAsia="宋体"/>
                <w:bCs/>
                <w:sz w:val="24"/>
                <w:szCs w:val="24"/>
              </w:rPr>
            </w:pPr>
            <w:r>
              <w:rPr>
                <w:rFonts w:hint="eastAsia" w:eastAsia="宋体"/>
                <w:bCs/>
                <w:sz w:val="24"/>
                <w:szCs w:val="24"/>
              </w:rPr>
              <w:t>四、用地布局</w:t>
            </w:r>
          </w:p>
          <w:p>
            <w:pPr>
              <w:adjustRightInd w:val="0"/>
              <w:snapToGrid w:val="0"/>
              <w:ind w:firstLine="480" w:firstLineChars="200"/>
              <w:rPr>
                <w:rFonts w:eastAsia="宋体"/>
                <w:bCs/>
                <w:sz w:val="24"/>
                <w:szCs w:val="24"/>
              </w:rPr>
            </w:pPr>
            <w:r>
              <w:rPr>
                <w:rFonts w:hint="eastAsia" w:eastAsia="宋体"/>
                <w:bCs/>
                <w:sz w:val="24"/>
                <w:szCs w:val="24"/>
              </w:rPr>
              <w:t>规划总用地规模3021.83公顷，其中城市建设用地1363.18公顷。其中包括居住用地37.94公顷，可容纳居住人口39万人；公共管理与公共服务设施用地364.25公顷；商业服务业设施用地233.0公顷；绿地与广场用地288.3公顷。</w:t>
            </w:r>
          </w:p>
          <w:p>
            <w:pPr>
              <w:adjustRightInd w:val="0"/>
              <w:snapToGrid w:val="0"/>
              <w:ind w:firstLine="480" w:firstLineChars="200"/>
              <w:rPr>
                <w:rFonts w:eastAsia="宋体"/>
                <w:bCs/>
                <w:sz w:val="24"/>
                <w:szCs w:val="24"/>
              </w:rPr>
            </w:pPr>
            <w:r>
              <w:rPr>
                <w:rFonts w:hint="eastAsia" w:eastAsia="宋体"/>
                <w:bCs/>
                <w:sz w:val="24"/>
                <w:szCs w:val="24"/>
              </w:rPr>
              <w:t>五、公共服务设施规划</w:t>
            </w:r>
          </w:p>
          <w:p>
            <w:pPr>
              <w:adjustRightInd w:val="0"/>
              <w:snapToGrid w:val="0"/>
              <w:ind w:firstLine="480" w:firstLineChars="200"/>
              <w:rPr>
                <w:rFonts w:eastAsia="宋体"/>
                <w:bCs/>
                <w:sz w:val="24"/>
                <w:szCs w:val="24"/>
              </w:rPr>
            </w:pPr>
            <w:r>
              <w:rPr>
                <w:rFonts w:hint="eastAsia" w:eastAsia="宋体"/>
                <w:bCs/>
                <w:sz w:val="24"/>
                <w:szCs w:val="24"/>
              </w:rPr>
              <w:t>规划片区内公共设施按照县级、10-15分钟生活圈、5分钟生活圈三级完善配置。规划布局6处高中、12处初中、18所小学；布局9处体育公园；布局9座综合医院、4座专科医院。设置12处10-15分钟生活圈中心、39个5分钟生活圈中心，为居民提供日常基本生活服务。</w:t>
            </w:r>
          </w:p>
          <w:p>
            <w:pPr>
              <w:adjustRightInd w:val="0"/>
              <w:snapToGrid w:val="0"/>
              <w:ind w:firstLine="480" w:firstLineChars="200"/>
              <w:rPr>
                <w:rFonts w:eastAsia="宋体"/>
                <w:bCs/>
                <w:sz w:val="24"/>
                <w:szCs w:val="24"/>
              </w:rPr>
            </w:pPr>
            <w:r>
              <w:rPr>
                <w:rFonts w:hint="eastAsia" w:eastAsia="宋体"/>
                <w:bCs/>
                <w:sz w:val="24"/>
                <w:szCs w:val="24"/>
              </w:rPr>
              <w:t>六、商业服务业设施</w:t>
            </w:r>
          </w:p>
          <w:p>
            <w:pPr>
              <w:adjustRightInd w:val="0"/>
              <w:snapToGrid w:val="0"/>
              <w:ind w:firstLine="480" w:firstLineChars="200"/>
              <w:rPr>
                <w:rFonts w:eastAsia="宋体"/>
                <w:bCs/>
                <w:sz w:val="24"/>
                <w:szCs w:val="24"/>
              </w:rPr>
            </w:pPr>
            <w:r>
              <w:rPr>
                <w:rFonts w:hint="eastAsia" w:eastAsia="宋体"/>
                <w:bCs/>
                <w:sz w:val="24"/>
                <w:szCs w:val="24"/>
              </w:rPr>
              <w:t>规划强化人民路商圈功能集聚、提档升级，实现购物、文娱、休闲、餐饮功能混合，建设以商业零售业为特色的县级商业中心。沿北京路、上海路等，建设特色沿街商业街区。提升城西、城南、城中3大专业市场群。补充完善以生活圈中心为基础的社区商业设施。依托河东中心、老沭河滨河地带及教育资源新增商务用地，建设嵌入式创新空间。</w:t>
            </w:r>
          </w:p>
          <w:p>
            <w:pPr>
              <w:adjustRightInd w:val="0"/>
              <w:snapToGrid w:val="0"/>
              <w:ind w:firstLine="480" w:firstLineChars="200"/>
              <w:rPr>
                <w:rFonts w:eastAsia="宋体"/>
                <w:bCs/>
                <w:sz w:val="24"/>
                <w:szCs w:val="24"/>
              </w:rPr>
            </w:pPr>
            <w:r>
              <w:rPr>
                <w:rFonts w:hint="eastAsia" w:eastAsia="宋体"/>
                <w:bCs/>
                <w:sz w:val="24"/>
                <w:szCs w:val="24"/>
              </w:rPr>
              <w:t>七、综合交通规划</w:t>
            </w:r>
          </w:p>
          <w:p>
            <w:pPr>
              <w:adjustRightInd w:val="0"/>
              <w:snapToGrid w:val="0"/>
              <w:ind w:firstLine="480" w:firstLineChars="200"/>
              <w:rPr>
                <w:rFonts w:eastAsia="宋体"/>
                <w:bCs/>
                <w:sz w:val="24"/>
                <w:szCs w:val="24"/>
              </w:rPr>
            </w:pPr>
            <w:r>
              <w:rPr>
                <w:rFonts w:hint="eastAsia" w:eastAsia="宋体"/>
                <w:bCs/>
                <w:sz w:val="24"/>
                <w:szCs w:val="24"/>
              </w:rPr>
              <w:t>优化街区路网结构，重点关注城市微循环。分梯级明确新建街区面积，推动发展开放便捷、尺度适宜、配套完善、邻里和谐的生活街区。规划形成威海路、淮河大道一横一纵快速路网；构建六横六纵主干路系统；补充完善次干路、支路系统，增加路网可达性，分流干路网压力，提高路网整体效应。</w:t>
            </w:r>
          </w:p>
          <w:p>
            <w:pPr>
              <w:adjustRightInd w:val="0"/>
              <w:snapToGrid w:val="0"/>
              <w:ind w:firstLine="480" w:firstLineChars="200"/>
              <w:rPr>
                <w:rFonts w:eastAsia="宋体"/>
                <w:bCs/>
                <w:sz w:val="24"/>
                <w:szCs w:val="24"/>
              </w:rPr>
            </w:pPr>
            <w:r>
              <w:rPr>
                <w:rFonts w:hint="eastAsia" w:eastAsia="宋体"/>
                <w:bCs/>
                <w:sz w:val="24"/>
                <w:szCs w:val="24"/>
              </w:rPr>
              <w:t>八、公园绿地建设</w:t>
            </w:r>
          </w:p>
          <w:p>
            <w:pPr>
              <w:adjustRightInd w:val="0"/>
              <w:snapToGrid w:val="0"/>
              <w:ind w:firstLine="480" w:firstLineChars="200"/>
              <w:rPr>
                <w:rFonts w:eastAsia="宋体"/>
                <w:bCs/>
                <w:sz w:val="24"/>
                <w:szCs w:val="24"/>
              </w:rPr>
            </w:pPr>
            <w:r>
              <w:rPr>
                <w:rFonts w:hint="eastAsia" w:eastAsia="宋体"/>
                <w:bCs/>
                <w:sz w:val="24"/>
                <w:szCs w:val="24"/>
              </w:rPr>
              <w:t>形成“一廊、三带、多点、多脉络”的绿地系统结构。按照“300米见绿、500米见园”的要求，规划建设14处综合公园、1处专类公园、11处休闲广场及若干街头游园。</w:t>
            </w:r>
          </w:p>
          <w:p>
            <w:pPr>
              <w:adjustRightInd w:val="0"/>
              <w:snapToGrid w:val="0"/>
              <w:ind w:firstLine="480" w:firstLineChars="200"/>
              <w:rPr>
                <w:rFonts w:eastAsia="宋体"/>
                <w:bCs/>
                <w:sz w:val="24"/>
                <w:szCs w:val="24"/>
              </w:rPr>
            </w:pPr>
            <w:r>
              <w:rPr>
                <w:rFonts w:hint="eastAsia" w:eastAsia="宋体"/>
                <w:bCs/>
                <w:sz w:val="24"/>
                <w:szCs w:val="24"/>
              </w:rPr>
              <w:t>九、城市设计引导</w:t>
            </w:r>
          </w:p>
          <w:p>
            <w:pPr>
              <w:adjustRightInd w:val="0"/>
              <w:snapToGrid w:val="0"/>
              <w:ind w:firstLine="480" w:firstLineChars="200"/>
              <w:rPr>
                <w:rFonts w:eastAsia="宋体"/>
                <w:bCs/>
                <w:sz w:val="24"/>
                <w:szCs w:val="24"/>
              </w:rPr>
            </w:pPr>
            <w:r>
              <w:rPr>
                <w:rFonts w:hint="eastAsia" w:eastAsia="宋体"/>
                <w:bCs/>
                <w:sz w:val="24"/>
                <w:szCs w:val="24"/>
              </w:rPr>
              <w:t>1、开敞空间：营造老沭河、新沭河两侧水绿景观廊道，打造迎宾路—人民路、台州路城市景观轴及苏州路、杭州路和北京路景观廊道，凸显行政中心、苏州路商务研发中心及人民路商业中心等节点空间景观，提升环境品质、强化老城特色。</w:t>
            </w:r>
          </w:p>
          <w:p>
            <w:pPr>
              <w:adjustRightInd w:val="0"/>
              <w:snapToGrid w:val="0"/>
              <w:ind w:firstLine="480" w:firstLineChars="200"/>
              <w:rPr>
                <w:rFonts w:eastAsia="宋体"/>
                <w:bCs/>
                <w:sz w:val="24"/>
                <w:szCs w:val="24"/>
              </w:rPr>
            </w:pPr>
            <w:r>
              <w:rPr>
                <w:rFonts w:hint="eastAsia" w:eastAsia="宋体"/>
                <w:bCs/>
                <w:sz w:val="24"/>
                <w:szCs w:val="24"/>
              </w:rPr>
              <w:t>2、界面控制：重点控制老沭河、新沭河两侧滨水界面，形成退台式、层次丰富的滨水天际轮廓。分类引导街道界面，主干性道路临街建筑界面保证一定长度和体量，宜采用大色块构成，一般性道路宜采用小体量、小尺度形式，控制建筑退线，注重统一变化的街道景观。</w:t>
            </w:r>
          </w:p>
          <w:p>
            <w:pPr>
              <w:adjustRightInd w:val="0"/>
              <w:snapToGrid w:val="0"/>
              <w:ind w:firstLine="480" w:firstLineChars="200"/>
              <w:rPr>
                <w:rFonts w:eastAsia="宋体"/>
                <w:bCs/>
                <w:sz w:val="24"/>
                <w:szCs w:val="24"/>
              </w:rPr>
            </w:pPr>
            <w:r>
              <w:rPr>
                <w:rFonts w:hint="eastAsia" w:eastAsia="宋体"/>
                <w:bCs/>
                <w:sz w:val="24"/>
                <w:szCs w:val="24"/>
              </w:rPr>
              <w:t>3、城市色彩引导：重点表现“古雅城中”的色彩意境。城中片区色彩承担着沭阳县城市色彩总谱中的重彩区域，充分融合传统人文色彩的特质，大块色系宜以简洁的浅色为主，主调色系以棕色系、灰色系和白色系为主。</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本项目污水经预处理后接管至沭阳县城东污水处理厂。</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沭阳县城东污水处理厂于2013年建设，江苏沭阳县城东污水处理厂采用较为先进的污水处理工艺， 其设计规模为3万立方米/日， 先期日处理规模达到3万立方米/日，项目投资近9456.96万元，沭阳县城东污水处理厂二期位于沭阳经济开发区嘉兴路东侧、海宁路北侧、一期工程北侧。 建设规模：日处理3万吨生活污水工程。</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为改善沂南河水环境，江苏沭阳经济技术开发区、沭阳县水务局、沭阳县环保局对沂南河提出了系统的治理措施：</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（1）沭阳县环保局关停了部分水污染严重的企业，并要求在区所有企业污水及生活污水接入污水管网，对沂南河上游的污水排放量较大的企业要求建立污水处理设施处理达标排放，同时减少产量；</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（2）江苏沭阳经济技术开发区、沭阳县水务局定期对沂南河进行清淤疏浚，同时从淮沭河定期调水，并保证水量大于5m</w:t>
            </w:r>
            <w:r>
              <w:rPr>
                <w:rFonts w:hint="eastAsia" w:eastAsia="宋体"/>
                <w:bCs/>
                <w:sz w:val="24"/>
                <w:szCs w:val="24"/>
                <w:vertAlign w:val="superscript"/>
              </w:rPr>
              <w:t>3</w:t>
            </w:r>
            <w:r>
              <w:rPr>
                <w:rFonts w:hint="eastAsia" w:eastAsia="宋体"/>
                <w:bCs/>
                <w:sz w:val="24"/>
                <w:szCs w:val="24"/>
              </w:rPr>
              <w:t>/s，由此增加了沂南河流量。2010年9月，由县水务局牵头，出资1.4亿元人民币，对沭阳境内32公里长的沂南河进行全面疏浚整治，沂南河通过疏浚整治后，河底宽达35-40米，河口宽达55-60米，河堤宽10 米，经过整治、绿化，沂南河将建成生态景观带。</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经过上述整治措施，根据沭阳县环境监测站例行监测结果表明，沂南河水质近年来得到了很大的改善，目前已稳定达到Ⅳ类水体。</w:t>
            </w:r>
          </w:p>
          <w:p>
            <w:pPr>
              <w:tabs>
                <w:tab w:val="left" w:pos="360"/>
                <w:tab w:val="left" w:pos="3462"/>
              </w:tabs>
              <w:snapToGrid w:val="0"/>
              <w:rPr>
                <w:rFonts w:eastAsia="宋体"/>
                <w:b/>
                <w:sz w:val="24"/>
                <w:szCs w:val="24"/>
              </w:rPr>
            </w:pPr>
            <w:r>
              <w:rPr>
                <w:rFonts w:eastAsia="宋体"/>
                <w:b/>
                <w:sz w:val="24"/>
                <w:szCs w:val="24"/>
              </w:rPr>
              <w:t>2.</w:t>
            </w:r>
            <w:r>
              <w:rPr>
                <w:rFonts w:hint="eastAsia" w:eastAsia="宋体"/>
                <w:b/>
                <w:sz w:val="24"/>
                <w:szCs w:val="24"/>
              </w:rPr>
              <w:t>3</w:t>
            </w:r>
            <w:r>
              <w:rPr>
                <w:rFonts w:eastAsia="宋体"/>
                <w:b/>
                <w:sz w:val="24"/>
                <w:szCs w:val="24"/>
              </w:rPr>
              <w:t>环境功能划分</w:t>
            </w:r>
          </w:p>
          <w:p>
            <w:pPr>
              <w:pStyle w:val="2"/>
              <w:ind w:firstLine="240"/>
              <w:rPr>
                <w:rFonts w:eastAsia="宋体"/>
                <w:bCs/>
                <w:sz w:val="24"/>
                <w:szCs w:val="24"/>
              </w:rPr>
            </w:pPr>
            <w:r>
              <w:rPr>
                <w:rFonts w:eastAsia="宋体"/>
                <w:bCs/>
                <w:sz w:val="24"/>
                <w:szCs w:val="24"/>
              </w:rPr>
              <w:t>区域环境功能划分见表2.4-1。</w:t>
            </w:r>
          </w:p>
          <w:p>
            <w:pPr>
              <w:pStyle w:val="2"/>
              <w:snapToGrid w:val="0"/>
              <w:spacing w:after="0"/>
              <w:ind w:firstLine="0" w:firstLineChars="0"/>
              <w:jc w:val="center"/>
              <w:rPr>
                <w:rFonts w:eastAsia="宋体"/>
                <w:b/>
                <w:bCs/>
                <w:sz w:val="24"/>
                <w:szCs w:val="24"/>
              </w:rPr>
            </w:pPr>
            <w:r>
              <w:rPr>
                <w:rFonts w:eastAsia="宋体"/>
                <w:b/>
                <w:bCs/>
                <w:sz w:val="24"/>
                <w:szCs w:val="24"/>
              </w:rPr>
              <w:t>表2.4-1 环境功能区划一览表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510"/>
              <w:gridCol w:w="3062"/>
              <w:gridCol w:w="2734"/>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567" w:hRule="atLeast"/>
                <w:jc w:val="center"/>
              </w:trPr>
              <w:tc>
                <w:tcPr>
                  <w:tcW w:w="25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大气环境</w:t>
                  </w:r>
                </w:p>
              </w:tc>
              <w:tc>
                <w:tcPr>
                  <w:tcW w:w="30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地表水环境</w:t>
                  </w:r>
                </w:p>
              </w:tc>
              <w:tc>
                <w:tcPr>
                  <w:tcW w:w="27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1426" w:hRule="atLeast"/>
                <w:jc w:val="center"/>
              </w:trPr>
              <w:tc>
                <w:tcPr>
                  <w:tcW w:w="25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执行《环境空气质量标准》（GB3095-2012）中二类</w:t>
                  </w:r>
                  <w:r>
                    <w:rPr>
                      <w:rFonts w:hint="eastAsia" w:eastAsia="宋体"/>
                      <w:sz w:val="21"/>
                      <w:szCs w:val="21"/>
                    </w:rPr>
                    <w:t>区</w:t>
                  </w:r>
                  <w:r>
                    <w:rPr>
                      <w:rFonts w:eastAsia="宋体"/>
                      <w:sz w:val="21"/>
                      <w:szCs w:val="21"/>
                    </w:rPr>
                    <w:t>标准</w:t>
                  </w:r>
                </w:p>
              </w:tc>
              <w:tc>
                <w:tcPr>
                  <w:tcW w:w="306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本项目纳污河流沂南河</w:t>
                  </w:r>
                  <w:r>
                    <w:rPr>
                      <w:rFonts w:eastAsia="宋体"/>
                      <w:sz w:val="21"/>
                      <w:szCs w:val="21"/>
                    </w:rPr>
                    <w:t>执行《地表水环境质量标准》（GB3838-2002）</w:t>
                  </w:r>
                  <w:r>
                    <w:rPr>
                      <w:rFonts w:hint="eastAsia" w:eastAsia="宋体"/>
                      <w:sz w:val="21"/>
                      <w:szCs w:val="21"/>
                    </w:rPr>
                    <w:t>IV</w:t>
                  </w:r>
                  <w:r>
                    <w:rPr>
                      <w:rFonts w:eastAsia="宋体"/>
                      <w:sz w:val="21"/>
                      <w:szCs w:val="21"/>
                    </w:rPr>
                    <w:t>类水标准</w:t>
                  </w:r>
                </w:p>
              </w:tc>
              <w:tc>
                <w:tcPr>
                  <w:tcW w:w="27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w:t>
                  </w:r>
                  <w:r>
                    <w:rPr>
                      <w:rFonts w:hint="eastAsia" w:eastAsia="宋体"/>
                      <w:sz w:val="21"/>
                      <w:szCs w:val="21"/>
                    </w:rPr>
                    <w:t>准</w:t>
                  </w:r>
                  <w:r>
                    <w:rPr>
                      <w:rFonts w:eastAsia="宋体"/>
                      <w:sz w:val="21"/>
                      <w:szCs w:val="21"/>
                    </w:rPr>
                    <w:t>》（GB3096-2008）中</w:t>
                  </w:r>
                  <w:r>
                    <w:rPr>
                      <w:rFonts w:hint="eastAsia" w:eastAsia="宋体"/>
                      <w:sz w:val="21"/>
                      <w:szCs w:val="21"/>
                    </w:rPr>
                    <w:t>2</w:t>
                  </w:r>
                  <w:r>
                    <w:rPr>
                      <w:rFonts w:eastAsia="宋体"/>
                      <w:sz w:val="21"/>
                      <w:szCs w:val="21"/>
                    </w:rPr>
                    <w:t>类标准</w:t>
                  </w:r>
                </w:p>
              </w:tc>
            </w:tr>
          </w:tbl>
          <w:p>
            <w:pPr>
              <w:adjustRightInd w:val="0"/>
              <w:snapToGrid w:val="0"/>
              <w:rPr>
                <w:rFonts w:eastAsia="宋体"/>
                <w:szCs w:val="24"/>
              </w:rPr>
            </w:pPr>
          </w:p>
        </w:tc>
      </w:tr>
    </w:tbl>
    <w:p>
      <w:pPr>
        <w:rPr>
          <w:rFonts w:eastAsia="宋体"/>
          <w:b/>
          <w:szCs w:val="28"/>
        </w:rPr>
      </w:pPr>
      <w:r>
        <w:rPr>
          <w:rFonts w:eastAsia="宋体"/>
          <w:b/>
          <w:szCs w:val="28"/>
        </w:rPr>
        <w:br w:type="page"/>
      </w:r>
    </w:p>
    <w:p>
      <w:pPr>
        <w:pStyle w:val="3"/>
        <w:spacing w:line="400" w:lineRule="exact"/>
        <w:outlineLvl w:val="0"/>
        <w:rPr>
          <w:rFonts w:eastAsia="宋体"/>
          <w:b/>
          <w:sz w:val="28"/>
          <w:szCs w:val="28"/>
        </w:rPr>
      </w:pPr>
      <w:r>
        <w:rPr>
          <w:rFonts w:eastAsia="宋体"/>
          <w:b/>
          <w:sz w:val="28"/>
          <w:szCs w:val="28"/>
        </w:rPr>
        <w:t>三、环境质量状况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071" w:type="dxa"/>
          </w:tcPr>
          <w:p>
            <w:pPr>
              <w:pStyle w:val="21"/>
              <w:spacing w:line="320" w:lineRule="exact"/>
              <w:rPr>
                <w:rFonts w:ascii="Times New Roman" w:eastAsia="宋体"/>
                <w:szCs w:val="24"/>
              </w:rPr>
            </w:pPr>
            <w:r>
              <w:rPr>
                <w:rFonts w:ascii="Times New Roman" w:eastAsia="宋体"/>
                <w:b/>
                <w:bCs/>
                <w:sz w:val="24"/>
                <w:szCs w:val="24"/>
              </w:rPr>
              <w:t>项目所在地区域环境质量现状及主要环境问题（环境空气、地面水、地下水、声环境、辐射环境、生态环境等）：</w:t>
            </w:r>
          </w:p>
          <w:p>
            <w:pPr>
              <w:snapToGrid w:val="0"/>
              <w:spacing w:before="120" w:beforeLines="50" w:after="120" w:afterLines="50"/>
              <w:rPr>
                <w:rFonts w:eastAsia="宋体"/>
                <w:b/>
                <w:sz w:val="24"/>
                <w:szCs w:val="24"/>
              </w:rPr>
            </w:pPr>
            <w:r>
              <w:rPr>
                <w:rFonts w:eastAsia="宋体"/>
                <w:b/>
                <w:sz w:val="24"/>
                <w:szCs w:val="24"/>
              </w:rPr>
              <w:t>3.1环境空气质量现状调查</w:t>
            </w:r>
          </w:p>
          <w:p>
            <w:pPr>
              <w:snapToGrid w:val="0"/>
              <w:ind w:firstLine="480" w:firstLineChars="200"/>
              <w:rPr>
                <w:rFonts w:eastAsia="宋体"/>
                <w:bCs/>
                <w:sz w:val="24"/>
                <w:szCs w:val="24"/>
              </w:rPr>
            </w:pPr>
            <w:r>
              <w:rPr>
                <w:rFonts w:hint="eastAsia" w:eastAsia="宋体"/>
                <w:bCs/>
                <w:sz w:val="24"/>
                <w:szCs w:val="24"/>
              </w:rPr>
              <w:t>本次评价选取 2018 年作为评价基准年，根据《2018 年沭阳县环境质量报告书》，</w:t>
            </w:r>
          </w:p>
          <w:p>
            <w:pPr>
              <w:snapToGrid w:val="0"/>
              <w:rPr>
                <w:rFonts w:eastAsia="宋体"/>
                <w:bCs/>
                <w:sz w:val="24"/>
                <w:szCs w:val="24"/>
              </w:rPr>
            </w:pPr>
            <w:r>
              <w:rPr>
                <w:rFonts w:hint="eastAsia" w:eastAsia="宋体"/>
                <w:bCs/>
                <w:sz w:val="24"/>
                <w:szCs w:val="24"/>
              </w:rPr>
              <w:t>项目所在区域沭阳县各评价因子数据见表 3-1。</w:t>
            </w:r>
          </w:p>
          <w:p>
            <w:pPr>
              <w:snapToGrid w:val="0"/>
              <w:spacing w:line="240" w:lineRule="auto"/>
              <w:jc w:val="center"/>
              <w:rPr>
                <w:rFonts w:eastAsia="宋体"/>
                <w:b/>
                <w:sz w:val="24"/>
                <w:szCs w:val="24"/>
              </w:rPr>
            </w:pPr>
            <w:r>
              <w:rPr>
                <w:rFonts w:hint="eastAsia" w:eastAsia="宋体"/>
                <w:b/>
                <w:sz w:val="24"/>
                <w:szCs w:val="24"/>
              </w:rPr>
              <w:t>表 3-1 空气环境质量现状</w:t>
            </w:r>
          </w:p>
          <w:tbl>
            <w:tblPr>
              <w:tblStyle w:val="29"/>
              <w:tblW w:w="88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633"/>
              <w:gridCol w:w="1476"/>
              <w:gridCol w:w="1476"/>
              <w:gridCol w:w="1476"/>
              <w:gridCol w:w="14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评价因子</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平均时段</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现状浓度</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标准值</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超标倍数</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SO</w:t>
                  </w:r>
                  <w:r>
                    <w:rPr>
                      <w:rFonts w:hint="eastAsia" w:eastAsia="宋体"/>
                      <w:bCs/>
                      <w:sz w:val="21"/>
                      <w:szCs w:val="21"/>
                      <w:vertAlign w:val="subscript"/>
                    </w:rPr>
                    <w:t>2</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23</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60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NO</w:t>
                  </w:r>
                  <w:r>
                    <w:rPr>
                      <w:rFonts w:hint="eastAsia" w:eastAsia="宋体"/>
                      <w:bCs/>
                      <w:sz w:val="21"/>
                      <w:szCs w:val="21"/>
                      <w:vertAlign w:val="subscript"/>
                    </w:rPr>
                    <w:t>X</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21</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PM</w:t>
                  </w:r>
                  <w:r>
                    <w:rPr>
                      <w:rFonts w:hint="eastAsia" w:eastAsia="宋体"/>
                      <w:bCs/>
                      <w:sz w:val="21"/>
                      <w:szCs w:val="21"/>
                      <w:vertAlign w:val="subscript"/>
                    </w:rPr>
                    <w:t>10</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76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70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0.086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lang w:eastAsia="zh-CN"/>
                    </w:rPr>
                    <w:t>超</w:t>
                  </w:r>
                  <w:r>
                    <w:rPr>
                      <w:rFonts w:hint="eastAsia" w:eastAsia="宋体"/>
                      <w:bCs/>
                      <w:sz w:val="21"/>
                      <w:szCs w:val="21"/>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PM</w:t>
                  </w:r>
                  <w:r>
                    <w:rPr>
                      <w:rFonts w:hint="eastAsia" w:eastAsia="宋体"/>
                      <w:bCs/>
                      <w:sz w:val="21"/>
                      <w:szCs w:val="21"/>
                      <w:vertAlign w:val="subscript"/>
                    </w:rPr>
                    <w:t>2.5</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35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0.286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lang w:eastAsia="zh-CN"/>
                    </w:rPr>
                    <w:t>超</w:t>
                  </w:r>
                  <w:r>
                    <w:rPr>
                      <w:rFonts w:hint="eastAsia" w:eastAsia="宋体"/>
                      <w:bCs/>
                      <w:sz w:val="21"/>
                      <w:szCs w:val="21"/>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O</w:t>
                  </w:r>
                  <w:r>
                    <w:rPr>
                      <w:rFonts w:hint="eastAsia" w:eastAsia="宋体"/>
                      <w:bCs/>
                      <w:sz w:val="21"/>
                      <w:szCs w:val="21"/>
                      <w:vertAlign w:val="subscript"/>
                    </w:rPr>
                    <w:t>3</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8小时平均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65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160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CO</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24小时平均值</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1.395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bl>
          <w:p>
            <w:pPr>
              <w:snapToGrid w:val="0"/>
              <w:rPr>
                <w:rFonts w:eastAsia="宋体"/>
                <w:b/>
                <w:sz w:val="21"/>
                <w:szCs w:val="21"/>
              </w:rPr>
            </w:pPr>
            <w:r>
              <w:rPr>
                <w:rFonts w:hint="eastAsia" w:eastAsia="宋体"/>
                <w:b/>
                <w:sz w:val="21"/>
                <w:szCs w:val="21"/>
              </w:rPr>
              <w:t>注：数值单位μg/m</w:t>
            </w:r>
            <w:r>
              <w:rPr>
                <w:rFonts w:hint="eastAsia" w:eastAsia="宋体"/>
                <w:b/>
                <w:sz w:val="21"/>
                <w:szCs w:val="21"/>
                <w:vertAlign w:val="superscript"/>
              </w:rPr>
              <w:t>3</w:t>
            </w:r>
            <w:r>
              <w:rPr>
                <w:rFonts w:hint="eastAsia" w:eastAsia="宋体"/>
                <w:b/>
                <w:sz w:val="21"/>
                <w:szCs w:val="21"/>
              </w:rPr>
              <w:t>(CO为mg/m</w:t>
            </w:r>
            <w:r>
              <w:rPr>
                <w:rFonts w:hint="eastAsia" w:eastAsia="宋体"/>
                <w:b/>
                <w:sz w:val="21"/>
                <w:szCs w:val="21"/>
                <w:vertAlign w:val="superscript"/>
              </w:rPr>
              <w:t>3</w:t>
            </w:r>
            <w:r>
              <w:rPr>
                <w:rFonts w:hint="eastAsia" w:eastAsia="宋体"/>
                <w:b/>
                <w:sz w:val="21"/>
                <w:szCs w:val="21"/>
              </w:rPr>
              <w:t>)。</w:t>
            </w:r>
          </w:p>
          <w:p>
            <w:pPr>
              <w:snapToGrid w:val="0"/>
              <w:ind w:firstLine="480" w:firstLineChars="200"/>
              <w:rPr>
                <w:rFonts w:eastAsia="宋体"/>
                <w:bCs/>
                <w:sz w:val="24"/>
                <w:szCs w:val="24"/>
              </w:rPr>
            </w:pPr>
            <w:r>
              <w:rPr>
                <w:rFonts w:hint="eastAsia" w:eastAsia="宋体"/>
                <w:bCs/>
                <w:sz w:val="24"/>
                <w:szCs w:val="24"/>
              </w:rPr>
              <w:t>2018年沭阳县环境空气中二氧化硫的年均值、二氧化氮的年均值、O</w:t>
            </w:r>
            <w:r>
              <w:rPr>
                <w:rFonts w:hint="eastAsia" w:eastAsia="宋体"/>
                <w:bCs/>
                <w:sz w:val="24"/>
                <w:szCs w:val="24"/>
                <w:vertAlign w:val="subscript"/>
              </w:rPr>
              <w:t>3</w:t>
            </w:r>
            <w:r>
              <w:rPr>
                <w:rFonts w:hint="eastAsia" w:eastAsia="宋体"/>
                <w:bCs/>
                <w:sz w:val="24"/>
                <w:szCs w:val="24"/>
              </w:rPr>
              <w:t>的8小时平均、CO的24小时平均值，可达到《环境空气质量标准》（GB3095-2012）二级标准；PM10的年均值、PM2.5 的年均值，超过《环境空气质量标准》（GB3095-2012）二级标准，超标倍数分别为 0.086倍、0.286倍。项目所在区域PM10、PM2.5超标，因此判定为不达标区。</w:t>
            </w:r>
          </w:p>
          <w:p>
            <w:pPr>
              <w:snapToGrid w:val="0"/>
              <w:ind w:firstLine="480" w:firstLineChars="200"/>
              <w:rPr>
                <w:rFonts w:hint="eastAsia" w:eastAsia="宋体"/>
                <w:bCs/>
                <w:sz w:val="24"/>
                <w:szCs w:val="24"/>
              </w:rPr>
            </w:pPr>
            <w:r>
              <w:rPr>
                <w:rFonts w:hint="eastAsia" w:eastAsia="宋体"/>
                <w:bCs/>
                <w:sz w:val="24"/>
                <w:szCs w:val="24"/>
              </w:rPr>
              <w:t>县政府办公室关于印发《沭阳县2019年大气、水、土壤及危险废物污染防治工作方案》的通知（沭政办发﹝2019﹞46号），以产业结构优化调整、能源结构调整、运输结构调整、用地结构调整为突破口，全面推进面源污染治理、重点行业深度减排、VOCS污染治理和污染天气应急管控，全力提升大气污染管控能力建设，推进完成大气污染防治工程项目142项，确保全面实现空气质量约束性目标。</w:t>
            </w:r>
          </w:p>
          <w:p>
            <w:pPr>
              <w:snapToGrid w:val="0"/>
              <w:rPr>
                <w:rFonts w:eastAsia="宋体"/>
                <w:b/>
                <w:sz w:val="24"/>
                <w:szCs w:val="24"/>
              </w:rPr>
            </w:pPr>
            <w:r>
              <w:rPr>
                <w:rFonts w:eastAsia="宋体"/>
                <w:b/>
                <w:sz w:val="24"/>
                <w:szCs w:val="24"/>
              </w:rPr>
              <w:t>3.2水环境质量现状调查</w:t>
            </w:r>
          </w:p>
          <w:p>
            <w:pPr>
              <w:snapToGrid w:val="0"/>
              <w:ind w:firstLine="480" w:firstLineChars="200"/>
              <w:rPr>
                <w:rFonts w:eastAsia="宋体"/>
                <w:color w:val="000000"/>
                <w:sz w:val="24"/>
                <w:szCs w:val="24"/>
              </w:rPr>
            </w:pPr>
            <w:r>
              <w:rPr>
                <w:rFonts w:hint="eastAsia" w:eastAsia="宋体"/>
                <w:color w:val="000000"/>
                <w:sz w:val="24"/>
                <w:szCs w:val="24"/>
              </w:rPr>
              <w:t>项目纳污水体为沂南河。根据沭阳县环保局发布的 2018 年 1 ~12 月环境质量公报，沂南河监测断面水质各项指标均达《地表水环境质量标准》（GB3838-2002）Ⅳ类标准要求，水体环境良好。</w:t>
            </w:r>
          </w:p>
          <w:p>
            <w:pPr>
              <w:snapToGrid w:val="0"/>
              <w:rPr>
                <w:rFonts w:eastAsia="宋体"/>
                <w:b/>
                <w:sz w:val="24"/>
                <w:szCs w:val="24"/>
              </w:rPr>
            </w:pPr>
            <w:r>
              <w:rPr>
                <w:rFonts w:eastAsia="宋体"/>
                <w:b/>
                <w:sz w:val="24"/>
                <w:szCs w:val="24"/>
              </w:rPr>
              <w:t>3.3声环境质量现状调查</w:t>
            </w:r>
          </w:p>
          <w:p>
            <w:pPr>
              <w:snapToGrid w:val="0"/>
              <w:ind w:firstLine="480" w:firstLineChars="200"/>
              <w:rPr>
                <w:rFonts w:eastAsia="宋体"/>
                <w:sz w:val="24"/>
                <w:szCs w:val="24"/>
              </w:rPr>
            </w:pPr>
            <w:r>
              <w:rPr>
                <w:rFonts w:hint="eastAsia" w:eastAsia="宋体"/>
                <w:sz w:val="24"/>
                <w:szCs w:val="24"/>
              </w:rPr>
              <w:t>根据沭阳县2018年6期环境监测简报，项目所在地区的声环境良好，本区域声环境质量符合《声环境质量标准》（GB3096-2008）3类声环境功能区标准。</w:t>
            </w:r>
          </w:p>
          <w:p>
            <w:pPr>
              <w:snapToGrid w:val="0"/>
              <w:rPr>
                <w:rFonts w:eastAsia="宋体"/>
                <w:b/>
                <w:sz w:val="24"/>
                <w:szCs w:val="24"/>
              </w:rPr>
            </w:pPr>
            <w:r>
              <w:rPr>
                <w:rFonts w:eastAsia="宋体"/>
                <w:b/>
                <w:sz w:val="24"/>
                <w:szCs w:val="24"/>
              </w:rPr>
              <w:t>3.</w:t>
            </w:r>
            <w:r>
              <w:rPr>
                <w:rFonts w:hint="eastAsia" w:eastAsia="宋体"/>
                <w:b/>
                <w:sz w:val="24"/>
                <w:szCs w:val="24"/>
              </w:rPr>
              <w:t>4项目区域土壤环境</w:t>
            </w:r>
          </w:p>
          <w:p>
            <w:pPr>
              <w:adjustRightInd w:val="0"/>
              <w:snapToGrid w:val="0"/>
              <w:ind w:firstLine="480" w:firstLineChars="200"/>
              <w:rPr>
                <w:rFonts w:eastAsia="宋体"/>
                <w:sz w:val="24"/>
                <w:szCs w:val="24"/>
              </w:rPr>
            </w:pPr>
            <w:r>
              <w:rPr>
                <w:rFonts w:hint="eastAsia" w:eastAsia="宋体"/>
                <w:sz w:val="24"/>
                <w:szCs w:val="24"/>
              </w:rPr>
              <w:t>本项目所在地根据《环境影响评价技术导则 土壤环境(试行) 》(HJ 964-2018)，项目土壤环境影响评价等级应为三级评价，需在项目内设三个检测点位。因此建设单位于2020年4月委托江苏迈斯特环境检测有限公司对项目区域土壤进行检测，共设三个点位，检测点位设置见表3-1及附图。检测项目为《土壤环境质量 建设用地土壤污染风险管控标准（试行）》(GB36600-2018)中第二类用地标准中重金属、挥发性有机物、半挥发性有机物合计45项基本项目及特征因子土壤pH、石油烃类（C</w:t>
            </w:r>
            <w:r>
              <w:rPr>
                <w:rFonts w:hint="eastAsia" w:eastAsia="宋体"/>
                <w:sz w:val="24"/>
                <w:szCs w:val="24"/>
                <w:vertAlign w:val="subscript"/>
              </w:rPr>
              <w:t>10</w:t>
            </w:r>
            <w:r>
              <w:rPr>
                <w:rFonts w:hint="eastAsia" w:eastAsia="宋体"/>
                <w:sz w:val="24"/>
                <w:szCs w:val="24"/>
              </w:rPr>
              <w:t>-C</w:t>
            </w:r>
            <w:r>
              <w:rPr>
                <w:rFonts w:hint="eastAsia" w:eastAsia="宋体"/>
                <w:sz w:val="24"/>
                <w:szCs w:val="24"/>
                <w:vertAlign w:val="subscript"/>
              </w:rPr>
              <w:t>40</w:t>
            </w:r>
            <w:r>
              <w:rPr>
                <w:rFonts w:hint="eastAsia" w:eastAsia="宋体"/>
                <w:sz w:val="24"/>
                <w:szCs w:val="24"/>
              </w:rPr>
              <w:t>）。检测结果汇总见表3-2，检测报告（MSTSQ20190924001）详见附件。</w:t>
            </w:r>
          </w:p>
          <w:p>
            <w:pPr>
              <w:tabs>
                <w:tab w:val="left" w:pos="2790"/>
              </w:tabs>
              <w:jc w:val="center"/>
              <w:rPr>
                <w:rFonts w:ascii="宋体" w:hAnsi="宋体" w:eastAsia="宋体" w:cs="宋体"/>
                <w:b/>
                <w:color w:val="000000"/>
                <w:sz w:val="24"/>
                <w:szCs w:val="24"/>
              </w:rPr>
            </w:pPr>
            <w:r>
              <w:rPr>
                <w:rFonts w:hint="eastAsia" w:ascii="宋体" w:hAnsi="宋体" w:eastAsia="宋体" w:cs="宋体"/>
                <w:b/>
                <w:color w:val="000000"/>
                <w:sz w:val="24"/>
                <w:szCs w:val="24"/>
              </w:rPr>
              <w:t>表3-1土壤环境质量现状检测方案</w:t>
            </w:r>
          </w:p>
          <w:tbl>
            <w:tblPr>
              <w:tblStyle w:val="2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95"/>
              <w:gridCol w:w="1843"/>
              <w:gridCol w:w="1842"/>
              <w:gridCol w:w="2127"/>
              <w:gridCol w:w="11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序号</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位置</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取样深度</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检测因子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选点依据</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土地性质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T1</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储罐附近</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表层样0-0.2m</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GB</w:t>
                  </w:r>
                  <w:r>
                    <w:rPr>
                      <w:rFonts w:hint="eastAsia" w:eastAsia="宋体"/>
                      <w:sz w:val="21"/>
                      <w:szCs w:val="21"/>
                    </w:rPr>
                    <w:t>36600中的基本项目+特征因子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可能发生渗漏的储罐区，存在污染风险</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建设用地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T2</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厂区内绿化带</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表层样0-0.2m</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GB</w:t>
                  </w:r>
                  <w:r>
                    <w:rPr>
                      <w:rFonts w:hint="eastAsia" w:eastAsia="宋体"/>
                      <w:sz w:val="21"/>
                      <w:szCs w:val="21"/>
                    </w:rPr>
                    <w:t>36600中的基本项目+特征因子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受人为扰动较少的土壤背景样</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建设用地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T3</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场内东南角</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表层样0-0.2m</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特征因子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建设用地</w:t>
                  </w:r>
                </w:p>
              </w:tc>
            </w:tr>
          </w:tbl>
          <w:p>
            <w:pPr>
              <w:pStyle w:val="2"/>
              <w:ind w:firstLine="200"/>
              <w:rPr>
                <w:rFonts w:eastAsiaTheme="minorEastAsia"/>
                <w:bCs/>
                <w:sz w:val="20"/>
              </w:rPr>
            </w:pPr>
            <w:r>
              <w:rPr>
                <w:rFonts w:eastAsiaTheme="minorEastAsia"/>
                <w:bCs/>
                <w:sz w:val="20"/>
              </w:rPr>
              <w:t>注：特征因子为土壤pH、石油烃（</w:t>
            </w:r>
            <w:r>
              <w:rPr>
                <w:rFonts w:eastAsiaTheme="minorEastAsia"/>
                <w:sz w:val="16"/>
                <w:szCs w:val="21"/>
              </w:rPr>
              <w:t>C</w:t>
            </w:r>
            <w:r>
              <w:rPr>
                <w:rFonts w:eastAsiaTheme="minorEastAsia"/>
                <w:sz w:val="16"/>
                <w:szCs w:val="21"/>
                <w:vertAlign w:val="subscript"/>
              </w:rPr>
              <w:t>10</w:t>
            </w:r>
            <w:r>
              <w:rPr>
                <w:rFonts w:eastAsiaTheme="minorEastAsia"/>
                <w:sz w:val="16"/>
                <w:szCs w:val="21"/>
              </w:rPr>
              <w:t>~C</w:t>
            </w:r>
            <w:r>
              <w:rPr>
                <w:rFonts w:eastAsiaTheme="minorEastAsia"/>
                <w:sz w:val="16"/>
                <w:szCs w:val="21"/>
                <w:vertAlign w:val="subscript"/>
              </w:rPr>
              <w:t>40</w:t>
            </w:r>
            <w:r>
              <w:rPr>
                <w:rFonts w:eastAsiaTheme="minorEastAsia"/>
                <w:bCs/>
                <w:sz w:val="20"/>
              </w:rPr>
              <w:t>）。</w:t>
            </w:r>
          </w:p>
          <w:p>
            <w:pPr>
              <w:tabs>
                <w:tab w:val="left" w:pos="2790"/>
              </w:tabs>
              <w:jc w:val="center"/>
              <w:rPr>
                <w:rFonts w:ascii="宋体" w:hAnsi="宋体" w:eastAsia="宋体" w:cs="宋体"/>
                <w:b/>
                <w:color w:val="000000"/>
                <w:sz w:val="24"/>
                <w:szCs w:val="24"/>
              </w:rPr>
            </w:pPr>
            <w:r>
              <w:rPr>
                <w:rFonts w:hint="eastAsia" w:ascii="宋体" w:hAnsi="宋体" w:eastAsia="宋体" w:cs="宋体"/>
                <w:b/>
                <w:color w:val="000000"/>
                <w:sz w:val="24"/>
                <w:szCs w:val="24"/>
              </w:rPr>
              <w:t xml:space="preserve">表3-2土壤环境质量现状检测结果  </w:t>
            </w:r>
          </w:p>
          <w:tbl>
            <w:tblPr>
              <w:tblStyle w:val="28"/>
              <w:tblW w:w="8855"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984"/>
              <w:gridCol w:w="851"/>
              <w:gridCol w:w="992"/>
              <w:gridCol w:w="1134"/>
              <w:gridCol w:w="850"/>
              <w:gridCol w:w="993"/>
              <w:gridCol w:w="11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类别</w:t>
                  </w:r>
                </w:p>
              </w:tc>
              <w:tc>
                <w:tcPr>
                  <w:tcW w:w="1984"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监测项目</w:t>
                  </w:r>
                </w:p>
              </w:tc>
              <w:tc>
                <w:tcPr>
                  <w:tcW w:w="851"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检出限</w:t>
                  </w:r>
                </w:p>
              </w:tc>
              <w:tc>
                <w:tcPr>
                  <w:tcW w:w="2976" w:type="dxa"/>
                  <w:gridSpan w:val="3"/>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检测结果mg</w:t>
                  </w:r>
                  <w:r>
                    <w:rPr>
                      <w:rFonts w:eastAsia="宋体"/>
                      <w:sz w:val="21"/>
                      <w:szCs w:val="21"/>
                    </w:rPr>
                    <w:t>/kg</w:t>
                  </w:r>
                </w:p>
              </w:tc>
              <w:tc>
                <w:tcPr>
                  <w:tcW w:w="993"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筛选值</w:t>
                  </w:r>
                  <w:r>
                    <w:rPr>
                      <w:rFonts w:hint="eastAsia" w:eastAsia="宋体"/>
                      <w:sz w:val="21"/>
                      <w:szCs w:val="21"/>
                    </w:rPr>
                    <w:t>mg</w:t>
                  </w:r>
                  <w:r>
                    <w:rPr>
                      <w:rFonts w:eastAsia="宋体"/>
                      <w:sz w:val="21"/>
                      <w:szCs w:val="21"/>
                    </w:rPr>
                    <w:t>/kg</w:t>
                  </w:r>
                </w:p>
              </w:tc>
              <w:tc>
                <w:tcPr>
                  <w:tcW w:w="1171"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分析结果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Merge w:val="continue"/>
                  <w:vAlign w:val="center"/>
                </w:tcPr>
                <w:p>
                  <w:pPr>
                    <w:pStyle w:val="2"/>
                    <w:snapToGrid w:val="0"/>
                    <w:spacing w:after="0" w:line="240" w:lineRule="auto"/>
                    <w:ind w:firstLine="0" w:firstLineChars="0"/>
                    <w:jc w:val="center"/>
                    <w:rPr>
                      <w:rFonts w:eastAsia="宋体"/>
                      <w:sz w:val="21"/>
                      <w:szCs w:val="21"/>
                    </w:rPr>
                  </w:pPr>
                </w:p>
              </w:tc>
              <w:tc>
                <w:tcPr>
                  <w:tcW w:w="851" w:type="dxa"/>
                  <w:vMerge w:val="continue"/>
                  <w:vAlign w:val="center"/>
                </w:tcPr>
                <w:p>
                  <w:pPr>
                    <w:pStyle w:val="2"/>
                    <w:snapToGrid w:val="0"/>
                    <w:spacing w:after="0" w:line="240" w:lineRule="auto"/>
                    <w:ind w:firstLine="0" w:firstLineChars="0"/>
                    <w:jc w:val="center"/>
                    <w:rPr>
                      <w:rFonts w:eastAsia="宋体"/>
                      <w:sz w:val="21"/>
                      <w:szCs w:val="21"/>
                    </w:rPr>
                  </w:pPr>
                </w:p>
              </w:tc>
              <w:tc>
                <w:tcPr>
                  <w:tcW w:w="992"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T1</w:t>
                  </w:r>
                </w:p>
              </w:tc>
              <w:tc>
                <w:tcPr>
                  <w:tcW w:w="1134"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T2</w:t>
                  </w:r>
                </w:p>
              </w:tc>
              <w:tc>
                <w:tcPr>
                  <w:tcW w:w="850"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T3</w:t>
                  </w:r>
                </w:p>
              </w:tc>
              <w:tc>
                <w:tcPr>
                  <w:tcW w:w="993" w:type="dxa"/>
                  <w:vMerge w:val="continue"/>
                  <w:vAlign w:val="center"/>
                </w:tcPr>
                <w:p>
                  <w:pPr>
                    <w:pStyle w:val="2"/>
                    <w:snapToGrid w:val="0"/>
                    <w:spacing w:after="0" w:line="240" w:lineRule="auto"/>
                    <w:ind w:firstLine="0" w:firstLineChars="0"/>
                    <w:jc w:val="center"/>
                    <w:rPr>
                      <w:rFonts w:eastAsia="宋体"/>
                      <w:sz w:val="21"/>
                      <w:szCs w:val="21"/>
                    </w:rPr>
                  </w:pPr>
                </w:p>
              </w:tc>
              <w:tc>
                <w:tcPr>
                  <w:tcW w:w="1171" w:type="dxa"/>
                  <w:vMerge w:val="continue"/>
                  <w:vAlign w:val="center"/>
                </w:tcPr>
                <w:p>
                  <w:pPr>
                    <w:pStyle w:val="2"/>
                    <w:snapToGrid w:val="0"/>
                    <w:spacing w:after="0" w:line="240" w:lineRule="auto"/>
                    <w:ind w:firstLine="0" w:firstLineChars="0"/>
                    <w:jc w:val="center"/>
                    <w:rPr>
                      <w:rFonts w:eastAsia="宋体"/>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Merge w:val="continue"/>
                  <w:vAlign w:val="center"/>
                </w:tcPr>
                <w:p>
                  <w:pPr>
                    <w:pStyle w:val="2"/>
                    <w:snapToGrid w:val="0"/>
                    <w:spacing w:after="0" w:line="240" w:lineRule="auto"/>
                    <w:ind w:firstLine="0" w:firstLineChars="0"/>
                    <w:jc w:val="center"/>
                    <w:rPr>
                      <w:rFonts w:eastAsia="宋体"/>
                      <w:sz w:val="21"/>
                      <w:szCs w:val="21"/>
                    </w:rPr>
                  </w:pPr>
                </w:p>
              </w:tc>
              <w:tc>
                <w:tcPr>
                  <w:tcW w:w="851" w:type="dxa"/>
                  <w:vMerge w:val="continue"/>
                  <w:vAlign w:val="center"/>
                </w:tcPr>
                <w:p>
                  <w:pPr>
                    <w:pStyle w:val="2"/>
                    <w:snapToGrid w:val="0"/>
                    <w:spacing w:after="0" w:line="240" w:lineRule="auto"/>
                    <w:ind w:firstLine="0" w:firstLineChars="0"/>
                    <w:jc w:val="center"/>
                    <w:rPr>
                      <w:rFonts w:eastAsia="宋体"/>
                      <w:sz w:val="21"/>
                      <w:szCs w:val="21"/>
                    </w:rPr>
                  </w:pPr>
                </w:p>
              </w:tc>
              <w:tc>
                <w:tcPr>
                  <w:tcW w:w="992"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0.2m</w:t>
                  </w:r>
                </w:p>
              </w:tc>
              <w:tc>
                <w:tcPr>
                  <w:tcW w:w="1134"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0.2m</w:t>
                  </w:r>
                </w:p>
              </w:tc>
              <w:tc>
                <w:tcPr>
                  <w:tcW w:w="850"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0.2m</w:t>
                  </w:r>
                </w:p>
              </w:tc>
              <w:tc>
                <w:tcPr>
                  <w:tcW w:w="993" w:type="dxa"/>
                  <w:vMerge w:val="continue"/>
                  <w:vAlign w:val="center"/>
                </w:tcPr>
                <w:p>
                  <w:pPr>
                    <w:pStyle w:val="2"/>
                    <w:snapToGrid w:val="0"/>
                    <w:spacing w:after="0" w:line="240" w:lineRule="auto"/>
                    <w:ind w:firstLine="0" w:firstLineChars="0"/>
                    <w:jc w:val="center"/>
                    <w:rPr>
                      <w:rFonts w:eastAsia="宋体"/>
                      <w:sz w:val="21"/>
                      <w:szCs w:val="21"/>
                    </w:rPr>
                  </w:pPr>
                </w:p>
              </w:tc>
              <w:tc>
                <w:tcPr>
                  <w:tcW w:w="1171" w:type="dxa"/>
                  <w:vMerge w:val="continue"/>
                  <w:vAlign w:val="center"/>
                </w:tcPr>
                <w:p>
                  <w:pPr>
                    <w:pStyle w:val="2"/>
                    <w:snapToGrid w:val="0"/>
                    <w:spacing w:after="0" w:line="240" w:lineRule="auto"/>
                    <w:ind w:firstLine="0" w:firstLineChars="0"/>
                    <w:jc w:val="center"/>
                    <w:rPr>
                      <w:rFonts w:eastAsia="宋体"/>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重金属</w:t>
                  </w: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6.72</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7.42</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60</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镉</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0.063</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0.075</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65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六价铬</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0.16</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5.7</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铜</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24</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22</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18000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铅</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15.9</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13.3</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800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汞</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0.262</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0.303</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38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镍</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75</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74</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900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VOCs</w:t>
                  </w:r>
                </w:p>
              </w:tc>
              <w:tc>
                <w:tcPr>
                  <w:tcW w:w="1984" w:type="dxa"/>
                  <w:vAlign w:val="center"/>
                </w:tcPr>
                <w:p>
                  <w:pPr>
                    <w:snapToGrid w:val="0"/>
                    <w:spacing w:line="240" w:lineRule="auto"/>
                    <w:jc w:val="center"/>
                    <w:rPr>
                      <w:rFonts w:eastAsia="宋体"/>
                      <w:sz w:val="21"/>
                      <w:szCs w:val="21"/>
                    </w:rPr>
                  </w:pPr>
                  <w:r>
                    <w:rPr>
                      <w:rFonts w:eastAsia="宋体"/>
                      <w:sz w:val="21"/>
                      <w:szCs w:val="21"/>
                    </w:rPr>
                    <w:t>四氯化碳</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氯仿</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0.9</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氯甲烷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37</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1,1-二氯乙烷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9</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1,2-二氯乙烷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1,1-二氯乙烯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顺式-1,2-二氯乙烯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596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反式-1,2-二氯乙烯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1.4</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54</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二氯甲烷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3.38E-3</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3.83E-3</w:t>
                  </w:r>
                </w:p>
              </w:tc>
              <w:tc>
                <w:tcPr>
                  <w:tcW w:w="850"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616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1,2-二氯丙烷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1,1,1,2-四氯乙烷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1,1,2,2-四氯乙烷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四氯乙烯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1.4</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53</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1,1,1-三氯乙烷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840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1,1,2-三氯乙烷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三氯乙烯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1,2,3-三氯丙烷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0.5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0.43</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1.9</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4</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270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1,2-二氯苯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1.5</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560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1,4-二氯苯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1.5</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20</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乙苯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1290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甲苯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1200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间、对-二甲苯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570</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邻二甲苯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640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SVOC</w:t>
                  </w:r>
                </w:p>
              </w:tc>
              <w:tc>
                <w:tcPr>
                  <w:tcW w:w="1984" w:type="dxa"/>
                  <w:vAlign w:val="center"/>
                </w:tcPr>
                <w:p>
                  <w:pPr>
                    <w:snapToGrid w:val="0"/>
                    <w:spacing w:line="240" w:lineRule="auto"/>
                    <w:jc w:val="center"/>
                    <w:rPr>
                      <w:rFonts w:eastAsia="宋体"/>
                      <w:sz w:val="21"/>
                      <w:szCs w:val="21"/>
                    </w:rPr>
                  </w:pPr>
                  <w:r>
                    <w:rPr>
                      <w:rFonts w:eastAsia="宋体"/>
                      <w:sz w:val="21"/>
                      <w:szCs w:val="21"/>
                    </w:rPr>
                    <w:t>硝基苯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0.09</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76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苯胺</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0.04</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260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2-氯苯酚</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0.06</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2256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苯并（a）蒽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苯并（a）芘</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苯并（b）荧蒽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苯并（k）荧蒽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151</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䓛</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1293</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二苯并（a,h）蒽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茚并（1,2,3-c,d）芘</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萘</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0.09</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70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特征因子</w:t>
                  </w: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pH（无量纲）</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7.51</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7.23</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7.40</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石油烃类</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6.0</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93.1</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42.8</w:t>
                  </w:r>
                </w:p>
              </w:tc>
              <w:tc>
                <w:tcPr>
                  <w:tcW w:w="850"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18.7</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4500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bl>
          <w:p>
            <w:pPr>
              <w:pStyle w:val="2"/>
              <w:ind w:firstLine="220"/>
            </w:pPr>
            <w:r>
              <w:rPr>
                <w:sz w:val="22"/>
              </w:rPr>
              <w:t>注：ND表示未检出，其中挥发性有机物VOCs</w:t>
            </w:r>
            <w:r>
              <w:rPr>
                <w:rFonts w:hint="eastAsia"/>
                <w:sz w:val="22"/>
              </w:rPr>
              <w:t>检出限</w:t>
            </w:r>
            <w:r>
              <w:rPr>
                <w:sz w:val="22"/>
              </w:rPr>
              <w:t>单位为µg /kg，其他单位均为mg /kg。</w:t>
            </w:r>
          </w:p>
          <w:p>
            <w:pPr>
              <w:widowControl w:val="0"/>
              <w:adjustRightInd w:val="0"/>
              <w:snapToGrid w:val="0"/>
              <w:ind w:firstLine="480" w:firstLineChars="200"/>
            </w:pPr>
            <w:r>
              <w:rPr>
                <w:rFonts w:hint="eastAsia" w:eastAsia="宋体"/>
                <w:bCs/>
                <w:sz w:val="24"/>
                <w:szCs w:val="24"/>
              </w:rPr>
              <w:t>本项目为加油站，为商业服务业设施用地，属于第二类用地。根据土壤检测报告，项目区域内土壤中污染物含量均远低于《土壤环境质量建设用地土壤污染风险管控标准（试行）》（GB 15618-2018）表2 中第二类用地筛选值，项目所在地土壤环境质量良好。</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5</w:t>
            </w:r>
            <w:r>
              <w:rPr>
                <w:rFonts w:eastAsia="宋体"/>
                <w:b/>
                <w:sz w:val="24"/>
                <w:szCs w:val="24"/>
              </w:rPr>
              <w:t>辐射环境和生态环境</w:t>
            </w:r>
          </w:p>
          <w:p>
            <w:pPr>
              <w:snapToGrid w:val="0"/>
              <w:ind w:firstLine="480" w:firstLineChars="200"/>
              <w:rPr>
                <w:rFonts w:eastAsia="宋体"/>
                <w:sz w:val="24"/>
                <w:szCs w:val="24"/>
              </w:rPr>
            </w:pPr>
            <w:r>
              <w:rPr>
                <w:rFonts w:eastAsia="宋体"/>
                <w:sz w:val="24"/>
                <w:szCs w:val="24"/>
              </w:rPr>
              <w:t>建设项目所在地无不良辐射和生态环境影响。</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6</w:t>
            </w:r>
            <w:r>
              <w:rPr>
                <w:rFonts w:eastAsia="宋体"/>
                <w:b/>
                <w:sz w:val="24"/>
                <w:szCs w:val="24"/>
              </w:rPr>
              <w:t>主要环境保护目标（列出名单及保护级别）</w:t>
            </w:r>
          </w:p>
          <w:p>
            <w:pPr>
              <w:widowControl w:val="0"/>
              <w:adjustRightInd w:val="0"/>
              <w:snapToGrid w:val="0"/>
              <w:ind w:firstLine="480" w:firstLineChars="200"/>
              <w:rPr>
                <w:rFonts w:eastAsia="宋体"/>
                <w:bCs/>
                <w:sz w:val="24"/>
                <w:szCs w:val="24"/>
              </w:rPr>
            </w:pPr>
            <w:r>
              <w:rPr>
                <w:rFonts w:hint="eastAsia" w:eastAsia="宋体"/>
                <w:bCs/>
                <w:sz w:val="24"/>
                <w:szCs w:val="24"/>
              </w:rPr>
              <w:t>建设项目位于沭阳县青岛路北侧民政局老年公寓东侧，根据评价工作等级的判据，确定大气评价等级为二级，二级评价不进行进一步预测与评价，只对污染物排放量进行核算。评价范围为以厂址为中心，边长为5km的矩形区域。</w:t>
            </w:r>
          </w:p>
          <w:p>
            <w:pPr>
              <w:widowControl w:val="0"/>
              <w:adjustRightInd w:val="0"/>
              <w:snapToGrid w:val="0"/>
              <w:ind w:firstLine="480" w:firstLineChars="200"/>
              <w:rPr>
                <w:rFonts w:eastAsia="宋体"/>
                <w:bCs/>
                <w:sz w:val="24"/>
                <w:szCs w:val="24"/>
              </w:rPr>
            </w:pPr>
            <w:r>
              <w:rPr>
                <w:rFonts w:hint="eastAsia" w:eastAsia="宋体"/>
                <w:bCs/>
                <w:sz w:val="24"/>
                <w:szCs w:val="24"/>
              </w:rPr>
              <w:t>根据项目所在声环境功能区划、项目噪声影响程度及周边敏感点分布，声环境评价范围为厂区周边200m。</w:t>
            </w:r>
          </w:p>
          <w:p>
            <w:pPr>
              <w:widowControl w:val="0"/>
              <w:adjustRightInd w:val="0"/>
              <w:snapToGrid w:val="0"/>
              <w:ind w:firstLine="480" w:firstLineChars="200"/>
              <w:rPr>
                <w:rFonts w:eastAsia="宋体"/>
                <w:bCs/>
                <w:sz w:val="24"/>
                <w:szCs w:val="24"/>
              </w:rPr>
            </w:pPr>
            <w:r>
              <w:rPr>
                <w:rFonts w:hint="eastAsia" w:eastAsia="宋体"/>
                <w:bCs/>
                <w:sz w:val="24"/>
                <w:szCs w:val="24"/>
              </w:rPr>
              <w:t>结合现场周边情况，确定项目周边主要环境保护目标见表3-3和表3-4。</w:t>
            </w:r>
          </w:p>
          <w:p>
            <w:pPr>
              <w:widowControl w:val="0"/>
              <w:snapToGrid w:val="0"/>
              <w:jc w:val="center"/>
              <w:rPr>
                <w:rFonts w:eastAsia="宋体"/>
                <w:b/>
                <w:sz w:val="24"/>
                <w:szCs w:val="24"/>
              </w:rPr>
            </w:pPr>
            <w:r>
              <w:rPr>
                <w:rFonts w:eastAsia="宋体"/>
                <w:b/>
                <w:sz w:val="24"/>
                <w:szCs w:val="24"/>
              </w:rPr>
              <w:t>表3-</w:t>
            </w:r>
            <w:r>
              <w:rPr>
                <w:rFonts w:hint="eastAsia" w:eastAsia="宋体"/>
                <w:b/>
                <w:sz w:val="24"/>
                <w:szCs w:val="24"/>
              </w:rPr>
              <w:t>3</w:t>
            </w:r>
            <w:r>
              <w:rPr>
                <w:rFonts w:eastAsia="宋体"/>
                <w:b/>
                <w:sz w:val="24"/>
                <w:szCs w:val="24"/>
              </w:rPr>
              <w:t>环境</w:t>
            </w:r>
            <w:r>
              <w:rPr>
                <w:rFonts w:hint="eastAsia" w:eastAsia="宋体"/>
                <w:b/>
                <w:sz w:val="24"/>
                <w:szCs w:val="24"/>
              </w:rPr>
              <w:t>空气</w:t>
            </w:r>
            <w:r>
              <w:rPr>
                <w:rFonts w:eastAsia="宋体"/>
                <w:b/>
                <w:sz w:val="24"/>
                <w:szCs w:val="24"/>
              </w:rPr>
              <w:t>保护目标一览表</w:t>
            </w:r>
          </w:p>
          <w:tbl>
            <w:tblPr>
              <w:tblStyle w:val="28"/>
              <w:tblW w:w="5000" w:type="pct"/>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Layout w:type="fixed"/>
              <w:tblCellMar>
                <w:top w:w="0" w:type="dxa"/>
                <w:left w:w="57" w:type="dxa"/>
                <w:bottom w:w="0" w:type="dxa"/>
                <w:right w:w="57" w:type="dxa"/>
              </w:tblCellMar>
            </w:tblPr>
            <w:tblGrid>
              <w:gridCol w:w="2490"/>
              <w:gridCol w:w="1138"/>
              <w:gridCol w:w="1029"/>
              <w:gridCol w:w="1094"/>
              <w:gridCol w:w="1117"/>
              <w:gridCol w:w="873"/>
              <w:gridCol w:w="1114"/>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2" w:hRule="atLeast"/>
              </w:trPr>
              <w:tc>
                <w:tcPr>
                  <w:tcW w:w="2490"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名称</w:t>
                  </w:r>
                </w:p>
              </w:tc>
              <w:tc>
                <w:tcPr>
                  <w:tcW w:w="1138"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保护对象</w:t>
                  </w:r>
                </w:p>
              </w:tc>
              <w:tc>
                <w:tcPr>
                  <w:tcW w:w="1029"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保护内容</w:t>
                  </w:r>
                </w:p>
              </w:tc>
              <w:tc>
                <w:tcPr>
                  <w:tcW w:w="1094"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环境功能区</w:t>
                  </w:r>
                </w:p>
              </w:tc>
              <w:tc>
                <w:tcPr>
                  <w:tcW w:w="1117"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规模（人）</w:t>
                  </w:r>
                </w:p>
              </w:tc>
              <w:tc>
                <w:tcPr>
                  <w:tcW w:w="873"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相对方位</w:t>
                  </w:r>
                </w:p>
              </w:tc>
              <w:tc>
                <w:tcPr>
                  <w:tcW w:w="1114" w:type="dxa"/>
                  <w:vMerge w:val="restart"/>
                  <w:vAlign w:val="center"/>
                </w:tcPr>
                <w:p>
                  <w:pPr>
                    <w:widowControl w:val="0"/>
                    <w:spacing w:line="240" w:lineRule="auto"/>
                    <w:jc w:val="center"/>
                    <w:rPr>
                      <w:rFonts w:eastAsiaTheme="minorEastAsia"/>
                      <w:b/>
                      <w:bCs/>
                      <w:sz w:val="21"/>
                      <w:szCs w:val="24"/>
                    </w:rPr>
                  </w:pPr>
                  <w:r>
                    <w:rPr>
                      <w:rFonts w:eastAsiaTheme="minorEastAsia"/>
                      <w:b/>
                      <w:bCs/>
                      <w:sz w:val="21"/>
                      <w:szCs w:val="24"/>
                    </w:rPr>
                    <w:t>相对最近距离/m</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2" w:hRule="atLeast"/>
              </w:trPr>
              <w:tc>
                <w:tcPr>
                  <w:tcW w:w="2490" w:type="dxa"/>
                  <w:vMerge w:val="continue"/>
                  <w:vAlign w:val="center"/>
                </w:tcPr>
                <w:p>
                  <w:pPr>
                    <w:widowControl w:val="0"/>
                    <w:spacing w:line="240" w:lineRule="auto"/>
                    <w:jc w:val="center"/>
                    <w:rPr>
                      <w:rFonts w:eastAsiaTheme="minorEastAsia"/>
                      <w:sz w:val="21"/>
                      <w:szCs w:val="24"/>
                    </w:rPr>
                  </w:pPr>
                </w:p>
              </w:tc>
              <w:tc>
                <w:tcPr>
                  <w:tcW w:w="1138" w:type="dxa"/>
                  <w:vMerge w:val="continue"/>
                  <w:vAlign w:val="center"/>
                </w:tcPr>
                <w:p>
                  <w:pPr>
                    <w:widowControl w:val="0"/>
                    <w:spacing w:line="240" w:lineRule="auto"/>
                    <w:jc w:val="center"/>
                    <w:rPr>
                      <w:rFonts w:eastAsiaTheme="minorEastAsia"/>
                      <w:sz w:val="21"/>
                      <w:szCs w:val="24"/>
                    </w:rPr>
                  </w:pPr>
                </w:p>
              </w:tc>
              <w:tc>
                <w:tcPr>
                  <w:tcW w:w="1029" w:type="dxa"/>
                  <w:vMerge w:val="continue"/>
                  <w:vAlign w:val="center"/>
                </w:tcPr>
                <w:p>
                  <w:pPr>
                    <w:widowControl w:val="0"/>
                    <w:spacing w:line="240" w:lineRule="auto"/>
                    <w:jc w:val="center"/>
                    <w:rPr>
                      <w:rFonts w:eastAsiaTheme="minorEastAsia"/>
                      <w:sz w:val="21"/>
                      <w:szCs w:val="24"/>
                    </w:rPr>
                  </w:pPr>
                </w:p>
              </w:tc>
              <w:tc>
                <w:tcPr>
                  <w:tcW w:w="1094" w:type="dxa"/>
                  <w:vMerge w:val="continue"/>
                  <w:vAlign w:val="center"/>
                </w:tcPr>
                <w:p>
                  <w:pPr>
                    <w:widowControl w:val="0"/>
                    <w:spacing w:line="240" w:lineRule="auto"/>
                    <w:jc w:val="center"/>
                    <w:rPr>
                      <w:rFonts w:eastAsiaTheme="minorEastAsia"/>
                      <w:sz w:val="21"/>
                      <w:szCs w:val="24"/>
                    </w:rPr>
                  </w:pPr>
                </w:p>
              </w:tc>
              <w:tc>
                <w:tcPr>
                  <w:tcW w:w="1117" w:type="dxa"/>
                  <w:vMerge w:val="continue"/>
                  <w:vAlign w:val="center"/>
                </w:tcPr>
                <w:p>
                  <w:pPr>
                    <w:widowControl w:val="0"/>
                    <w:spacing w:line="240" w:lineRule="auto"/>
                    <w:jc w:val="center"/>
                    <w:rPr>
                      <w:rFonts w:eastAsiaTheme="minorEastAsia"/>
                      <w:sz w:val="21"/>
                      <w:szCs w:val="24"/>
                    </w:rPr>
                  </w:pPr>
                </w:p>
              </w:tc>
              <w:tc>
                <w:tcPr>
                  <w:tcW w:w="873" w:type="dxa"/>
                  <w:vMerge w:val="continue"/>
                  <w:vAlign w:val="center"/>
                </w:tcPr>
                <w:p>
                  <w:pPr>
                    <w:widowControl w:val="0"/>
                    <w:spacing w:line="240" w:lineRule="auto"/>
                    <w:jc w:val="center"/>
                    <w:rPr>
                      <w:rFonts w:eastAsiaTheme="minorEastAsia"/>
                      <w:sz w:val="21"/>
                      <w:szCs w:val="24"/>
                    </w:rPr>
                  </w:pPr>
                </w:p>
              </w:tc>
              <w:tc>
                <w:tcPr>
                  <w:tcW w:w="1114" w:type="dxa"/>
                  <w:vMerge w:val="continue"/>
                  <w:vAlign w:val="center"/>
                </w:tcPr>
                <w:p>
                  <w:pPr>
                    <w:widowControl w:val="0"/>
                    <w:spacing w:line="240" w:lineRule="auto"/>
                    <w:jc w:val="center"/>
                    <w:rPr>
                      <w:rFonts w:eastAsiaTheme="minorEastAsia"/>
                      <w:sz w:val="21"/>
                      <w:szCs w:val="24"/>
                    </w:rPr>
                  </w:pP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八一文枢院、紫藤花园、政园小区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450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人武小区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kern w:val="0"/>
                      <w:sz w:val="21"/>
                      <w:szCs w:val="21"/>
                    </w:rPr>
                    <w:t>1200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550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锦绣江南、金鼎尚城小区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1"/>
                    </w:rPr>
                    <w:t>2500</w:t>
                  </w:r>
                </w:p>
              </w:tc>
              <w:tc>
                <w:tcPr>
                  <w:tcW w:w="873"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800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朝阳新城、南京路小区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2200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900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金三角小区、雯锦花园、建陵新村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3400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沂水绿洲、建陵商都、江岸名城、河滨新村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4100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1400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江南枫景、吉林小区、云中阁小区、信安花园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3800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1500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沭阳县建陵中学</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1650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西城馥邦</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1100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1700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z w:val="21"/>
                      <w:szCs w:val="24"/>
                    </w:rPr>
                    <w:t>月牙楼小区、城市枫林、新康花园、新康嘉园、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4500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1800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城市嘉园、祥和城市花园、金港花苑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3600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1900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孙巷小区三期、纵观天下都城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2200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2000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1"/>
                    </w:rPr>
                  </w:pPr>
                  <w:r>
                    <w:rPr>
                      <w:rFonts w:hint="eastAsia" w:eastAsiaTheme="minorEastAsia"/>
                      <w:sz w:val="21"/>
                      <w:szCs w:val="24"/>
                    </w:rPr>
                    <w:t>沭阳县孙巷小学</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2200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颖都花园、南苑小区、香溢花城、万榕上江南</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4000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2300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沭阳县深圳路实验小学</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2300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沭阳南洋学校</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2400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怡景佳园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150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城北小区、巴黎花园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3500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250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锦绣花园、颐和花园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2500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500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清华园、青岛路小区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1800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郑德中学、怀文中学</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6000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东方广场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1100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1200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豪园明月居、豪园郦湖湾、沭阳花苑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3800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1400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都市阳光、苏州花园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1600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巴黎新城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1800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毛庄</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800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1900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丰润名苑、花都锦城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2800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2200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东方名都</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1100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2400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新沂庄</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600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NE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2100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木匠庄</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450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NE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2500</w:t>
                  </w:r>
                </w:p>
              </w:tc>
            </w:tr>
          </w:tbl>
          <w:p>
            <w:pPr>
              <w:adjustRightInd w:val="0"/>
              <w:snapToGrid w:val="0"/>
              <w:spacing w:before="240" w:beforeLines="100"/>
              <w:ind w:firstLine="482" w:firstLineChars="200"/>
              <w:jc w:val="center"/>
              <w:rPr>
                <w:rFonts w:eastAsia="宋体"/>
                <w:b/>
                <w:bCs/>
                <w:sz w:val="24"/>
                <w:szCs w:val="24"/>
              </w:rPr>
            </w:pPr>
          </w:p>
          <w:p>
            <w:pPr>
              <w:adjustRightInd w:val="0"/>
              <w:snapToGrid w:val="0"/>
              <w:spacing w:before="240" w:beforeLines="100"/>
              <w:ind w:firstLine="482" w:firstLineChars="200"/>
              <w:jc w:val="center"/>
              <w:rPr>
                <w:rFonts w:eastAsia="宋体"/>
                <w:b/>
                <w:bCs/>
                <w:sz w:val="24"/>
                <w:szCs w:val="24"/>
              </w:rPr>
            </w:pPr>
            <w:r>
              <w:rPr>
                <w:rFonts w:eastAsia="宋体"/>
                <w:b/>
                <w:bCs/>
                <w:sz w:val="24"/>
                <w:szCs w:val="24"/>
              </w:rPr>
              <w:t>表3-</w:t>
            </w:r>
            <w:r>
              <w:rPr>
                <w:rFonts w:hint="eastAsia" w:eastAsia="宋体"/>
                <w:b/>
                <w:bCs/>
                <w:sz w:val="24"/>
                <w:szCs w:val="24"/>
              </w:rPr>
              <w:t>4</w:t>
            </w:r>
            <w:r>
              <w:rPr>
                <w:rFonts w:eastAsia="宋体"/>
                <w:b/>
                <w:bCs/>
                <w:sz w:val="24"/>
                <w:szCs w:val="24"/>
              </w:rPr>
              <w:t>项目</w:t>
            </w:r>
            <w:r>
              <w:rPr>
                <w:rFonts w:hint="eastAsia" w:eastAsia="宋体"/>
                <w:b/>
                <w:bCs/>
                <w:sz w:val="24"/>
                <w:szCs w:val="24"/>
              </w:rPr>
              <w:t>其他</w:t>
            </w:r>
            <w:r>
              <w:rPr>
                <w:rFonts w:eastAsia="宋体"/>
                <w:b/>
                <w:bCs/>
                <w:sz w:val="24"/>
                <w:szCs w:val="24"/>
              </w:rPr>
              <w:t>主要环境保护目标</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11"/>
              <w:gridCol w:w="992"/>
              <w:gridCol w:w="1276"/>
              <w:gridCol w:w="1003"/>
              <w:gridCol w:w="2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环境要素</w:t>
                  </w: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环境保护对象名称</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方位</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距离（m）</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规模（人）</w:t>
                  </w:r>
                </w:p>
              </w:tc>
              <w:tc>
                <w:tcPr>
                  <w:tcW w:w="2718"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85" w:type="dxa"/>
                  <w:vMerge w:val="restart"/>
                  <w:tcBorders>
                    <w:top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水环境</w:t>
                  </w: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沂南河</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北</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450</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小河</w:t>
                  </w:r>
                </w:p>
              </w:tc>
              <w:tc>
                <w:tcPr>
                  <w:tcW w:w="2718" w:type="dxa"/>
                  <w:vMerge w:val="restart"/>
                  <w:tcBorders>
                    <w:top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执行《地表水环境质量标准》（GB3838-2002）III类水标准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85" w:type="dxa"/>
                  <w:vMerge w:val="continue"/>
                  <w:vAlign w:val="center"/>
                </w:tcPr>
                <w:p>
                  <w:pPr>
                    <w:widowControl w:val="0"/>
                    <w:tabs>
                      <w:tab w:val="center" w:pos="4153"/>
                      <w:tab w:val="right" w:pos="8306"/>
                    </w:tabs>
                    <w:snapToGrid w:val="0"/>
                    <w:spacing w:line="240" w:lineRule="auto"/>
                    <w:jc w:val="center"/>
                  </w:pP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新沂河北偏泓</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北</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1600</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小河</w:t>
                  </w:r>
                </w:p>
              </w:tc>
              <w:tc>
                <w:tcPr>
                  <w:tcW w:w="2718"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c>
                <w:tcPr>
                  <w:tcW w:w="1411" w:type="dxa"/>
                  <w:vAlign w:val="center"/>
                </w:tcPr>
                <w:p>
                  <w:pPr>
                    <w:widowControl w:val="0"/>
                    <w:snapToGrid w:val="0"/>
                    <w:spacing w:line="240" w:lineRule="atLeast"/>
                    <w:jc w:val="center"/>
                    <w:rPr>
                      <w:rFonts w:eastAsia="宋体"/>
                      <w:sz w:val="21"/>
                      <w:szCs w:val="24"/>
                    </w:rPr>
                  </w:pPr>
                  <w:r>
                    <w:rPr>
                      <w:rFonts w:hint="eastAsia" w:eastAsiaTheme="minorEastAsia"/>
                      <w:sz w:val="21"/>
                      <w:szCs w:val="24"/>
                    </w:rPr>
                    <w:t>怡景佳园</w:t>
                  </w:r>
                </w:p>
              </w:tc>
              <w:tc>
                <w:tcPr>
                  <w:tcW w:w="992" w:type="dxa"/>
                  <w:vAlign w:val="center"/>
                </w:tcPr>
                <w:p>
                  <w:pPr>
                    <w:widowControl w:val="0"/>
                    <w:snapToGrid w:val="0"/>
                    <w:spacing w:line="240" w:lineRule="atLeast"/>
                    <w:jc w:val="center"/>
                    <w:rPr>
                      <w:rFonts w:eastAsia="宋体"/>
                      <w:sz w:val="21"/>
                      <w:szCs w:val="24"/>
                    </w:rPr>
                  </w:pPr>
                  <w:r>
                    <w:rPr>
                      <w:rFonts w:hint="eastAsia" w:eastAsia="宋体"/>
                      <w:sz w:val="21"/>
                      <w:szCs w:val="24"/>
                    </w:rPr>
                    <w:t>SE</w:t>
                  </w:r>
                </w:p>
              </w:tc>
              <w:tc>
                <w:tcPr>
                  <w:tcW w:w="1276" w:type="dxa"/>
                  <w:vAlign w:val="center"/>
                </w:tcPr>
                <w:p>
                  <w:pPr>
                    <w:widowControl w:val="0"/>
                    <w:snapToGrid w:val="0"/>
                    <w:spacing w:line="240" w:lineRule="atLeast"/>
                    <w:jc w:val="center"/>
                    <w:rPr>
                      <w:rFonts w:eastAsia="宋体"/>
                      <w:sz w:val="21"/>
                      <w:szCs w:val="24"/>
                    </w:rPr>
                  </w:pPr>
                  <w:r>
                    <w:rPr>
                      <w:rFonts w:hint="eastAsia" w:eastAsia="宋体"/>
                      <w:sz w:val="21"/>
                      <w:szCs w:val="24"/>
                    </w:rPr>
                    <w:t>150</w:t>
                  </w:r>
                </w:p>
              </w:tc>
              <w:tc>
                <w:tcPr>
                  <w:tcW w:w="1003" w:type="dxa"/>
                  <w:vAlign w:val="center"/>
                </w:tcPr>
                <w:p>
                  <w:pPr>
                    <w:widowControl w:val="0"/>
                    <w:snapToGrid w:val="0"/>
                    <w:spacing w:line="240" w:lineRule="atLeast"/>
                    <w:jc w:val="center"/>
                    <w:rPr>
                      <w:rFonts w:eastAsia="宋体"/>
                      <w:sz w:val="21"/>
                      <w:szCs w:val="24"/>
                    </w:rPr>
                  </w:pPr>
                  <w:r>
                    <w:rPr>
                      <w:rFonts w:hint="eastAsia" w:eastAsia="宋体"/>
                      <w:sz w:val="21"/>
                      <w:szCs w:val="24"/>
                    </w:rPr>
                    <w:t>2000</w:t>
                  </w:r>
                </w:p>
              </w:tc>
              <w:tc>
                <w:tcPr>
                  <w:tcW w:w="27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执行《声环境质量标准》（GB3096-2008）中</w:t>
                  </w:r>
                  <w:r>
                    <w:rPr>
                      <w:rFonts w:hint="eastAsia" w:eastAsia="宋体"/>
                      <w:sz w:val="21"/>
                      <w:szCs w:val="21"/>
                    </w:rPr>
                    <w:t>2</w:t>
                  </w:r>
                  <w:r>
                    <w:rPr>
                      <w:rFonts w:eastAsia="宋体"/>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生态环境</w:t>
                  </w:r>
                </w:p>
              </w:tc>
              <w:tc>
                <w:tcPr>
                  <w:tcW w:w="4682" w:type="dxa"/>
                  <w:gridSpan w:val="4"/>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本项目不在江苏省生态红线范围内</w:t>
                  </w:r>
                </w:p>
              </w:tc>
              <w:tc>
                <w:tcPr>
                  <w:tcW w:w="271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r>
          </w:tbl>
          <w:p>
            <w:pPr>
              <w:pStyle w:val="2"/>
              <w:ind w:firstLine="220"/>
              <w:rPr>
                <w:rFonts w:eastAsia="宋体"/>
                <w:szCs w:val="24"/>
              </w:rPr>
            </w:pPr>
            <w:r>
              <w:rPr>
                <w:rFonts w:hint="eastAsia" w:eastAsia="宋体"/>
                <w:bCs/>
                <w:sz w:val="22"/>
                <w:szCs w:val="24"/>
              </w:rPr>
              <w:t>注：距离以最近计。</w:t>
            </w:r>
          </w:p>
        </w:tc>
      </w:tr>
    </w:tbl>
    <w:p/>
    <w:p>
      <w:pPr>
        <w:pStyle w:val="3"/>
        <w:spacing w:line="400" w:lineRule="exact"/>
        <w:outlineLvl w:val="0"/>
        <w:rPr>
          <w:rFonts w:eastAsia="宋体"/>
          <w:b/>
          <w:sz w:val="28"/>
          <w:szCs w:val="28"/>
        </w:rPr>
      </w:pPr>
      <w:r>
        <w:rPr>
          <w:rFonts w:eastAsia="宋体"/>
          <w:b/>
          <w:sz w:val="28"/>
          <w:szCs w:val="28"/>
        </w:rPr>
        <w:t>四、评价适用标准及总量控制指标</w:t>
      </w:r>
    </w:p>
    <w:tbl>
      <w:tblPr>
        <w:tblStyle w:val="28"/>
        <w:tblW w:w="9542" w:type="dxa"/>
        <w:tblInd w:w="-2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90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5" w:hRule="atLeast"/>
        </w:trPr>
        <w:tc>
          <w:tcPr>
            <w:tcW w:w="456" w:type="dxa"/>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sz w:val="28"/>
              </w:rPr>
            </w:pPr>
            <w:r>
              <w:rPr>
                <w:rFonts w:hint="default" w:ascii="Times New Roman" w:hAnsi="Times New Roman" w:eastAsia="宋体"/>
                <w:kern w:val="2"/>
              </w:rPr>
              <w:t>环境质量标准</w:t>
            </w:r>
          </w:p>
        </w:tc>
        <w:tc>
          <w:tcPr>
            <w:tcW w:w="9086" w:type="dxa"/>
          </w:tcPr>
          <w:p>
            <w:pPr>
              <w:snapToGrid w:val="0"/>
              <w:ind w:firstLine="482" w:firstLineChars="200"/>
              <w:rPr>
                <w:rFonts w:eastAsia="宋体"/>
                <w:b/>
                <w:sz w:val="24"/>
                <w:szCs w:val="24"/>
              </w:rPr>
            </w:pPr>
            <w:r>
              <w:rPr>
                <w:rFonts w:eastAsia="宋体"/>
                <w:b/>
                <w:sz w:val="24"/>
                <w:szCs w:val="24"/>
              </w:rPr>
              <w:t>1、大气环境质量标准</w:t>
            </w:r>
          </w:p>
          <w:p>
            <w:pPr>
              <w:ind w:firstLine="480" w:firstLineChars="200"/>
              <w:rPr>
                <w:rFonts w:eastAsia="宋体"/>
                <w:sz w:val="24"/>
                <w:szCs w:val="24"/>
              </w:rPr>
            </w:pPr>
            <w:r>
              <w:rPr>
                <w:rFonts w:eastAsia="宋体"/>
                <w:sz w:val="24"/>
                <w:szCs w:val="24"/>
              </w:rPr>
              <w:t>根据《江苏省环境空气质量功能区划分》，评价区域环境空气执行《环境空气质量标准》（GB3095-2012）中的二级标准。根据中国环境科学出版社出版的国家环境保护局科技标准司的《大气污染物综合排放标准详解》中第244页的说明，确定非甲烷总烃的环境空气质量标准采用2.0mg/ m</w:t>
            </w:r>
            <w:r>
              <w:rPr>
                <w:rFonts w:eastAsia="宋体"/>
                <w:sz w:val="24"/>
                <w:szCs w:val="24"/>
                <w:vertAlign w:val="superscript"/>
              </w:rPr>
              <w:t>3</w:t>
            </w:r>
            <w:r>
              <w:rPr>
                <w:rFonts w:eastAsia="宋体"/>
                <w:sz w:val="24"/>
                <w:szCs w:val="24"/>
              </w:rPr>
              <w:t>（1h）。</w:t>
            </w:r>
          </w:p>
          <w:p>
            <w:pPr>
              <w:jc w:val="center"/>
              <w:rPr>
                <w:rFonts w:eastAsia="宋体"/>
                <w:b/>
                <w:sz w:val="24"/>
                <w:szCs w:val="24"/>
              </w:rPr>
            </w:pPr>
            <w:r>
              <w:rPr>
                <w:rFonts w:eastAsia="宋体"/>
                <w:b/>
                <w:sz w:val="24"/>
                <w:szCs w:val="24"/>
              </w:rPr>
              <w:t>表4-1  环境空气质量标准</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14"/>
              <w:gridCol w:w="2790"/>
              <w:gridCol w:w="19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Theme="minorEastAsia"/>
                      <w:sz w:val="21"/>
                      <w:szCs w:val="21"/>
                    </w:rPr>
                    <w:t>污染物项目</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取值时间</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浓度限值</w:t>
                  </w:r>
                </w:p>
              </w:tc>
              <w:tc>
                <w:tcPr>
                  <w:tcW w:w="1949" w:type="dxa"/>
                  <w:vAlign w:val="center"/>
                </w:tcPr>
                <w:p>
                  <w:pPr>
                    <w:snapToGrid w:val="0"/>
                    <w:spacing w:line="240" w:lineRule="auto"/>
                    <w:jc w:val="center"/>
                    <w:rPr>
                      <w:rFonts w:eastAsiaTheme="minorEastAsia"/>
                      <w:sz w:val="21"/>
                      <w:szCs w:val="21"/>
                    </w:rPr>
                  </w:pPr>
                  <w:r>
                    <w:rPr>
                      <w:rFonts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SO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60</w:t>
                  </w:r>
                </w:p>
              </w:tc>
              <w:tc>
                <w:tcPr>
                  <w:tcW w:w="1949" w:type="dxa"/>
                  <w:vMerge w:val="restart"/>
                  <w:vAlign w:val="center"/>
                </w:tcPr>
                <w:p>
                  <w:pPr>
                    <w:snapToGrid w:val="0"/>
                    <w:spacing w:line="240" w:lineRule="auto"/>
                    <w:jc w:val="center"/>
                    <w:rPr>
                      <w:rFonts w:eastAsiaTheme="minorEastAsia"/>
                      <w:sz w:val="21"/>
                      <w:szCs w:val="21"/>
                    </w:rPr>
                  </w:pPr>
                  <w:r>
                    <w:rPr>
                      <w:rFonts w:eastAsiaTheme="minorEastAsia"/>
                      <w:sz w:val="21"/>
                      <w:szCs w:val="21"/>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80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X</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10</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2.5</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35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CO</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vertAlign w:val="subscript"/>
                    </w:rPr>
                  </w:pPr>
                  <w:r>
                    <w:rPr>
                      <w:rFonts w:eastAsiaTheme="minorEastAsia"/>
                      <w:sz w:val="21"/>
                      <w:szCs w:val="21"/>
                    </w:rPr>
                    <w:t>O</w:t>
                  </w:r>
                  <w:r>
                    <w:rPr>
                      <w:rFonts w:eastAsiaTheme="minorEastAsia"/>
                      <w:sz w:val="21"/>
                      <w:szCs w:val="21"/>
                      <w:vertAlign w:val="subscript"/>
                    </w:rPr>
                    <w:t>3</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日最大8小时平均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160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宋体"/>
                      <w:sz w:val="21"/>
                      <w:szCs w:val="21"/>
                    </w:rPr>
                    <w:t>非甲烷总烃</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hint="eastAsia" w:eastAsiaTheme="minorEastAsia"/>
                      <w:sz w:val="21"/>
                      <w:szCs w:val="21"/>
                    </w:rPr>
                    <w:t>2000</w:t>
                  </w:r>
                </w:p>
              </w:tc>
              <w:tc>
                <w:tcPr>
                  <w:tcW w:w="1949" w:type="dxa"/>
                  <w:vAlign w:val="center"/>
                </w:tcPr>
                <w:p>
                  <w:pPr>
                    <w:snapToGrid w:val="0"/>
                    <w:spacing w:line="240" w:lineRule="auto"/>
                    <w:jc w:val="center"/>
                    <w:rPr>
                      <w:rFonts w:eastAsiaTheme="minorEastAsia"/>
                      <w:sz w:val="21"/>
                      <w:szCs w:val="21"/>
                    </w:rPr>
                  </w:pPr>
                  <w:r>
                    <w:rPr>
                      <w:rFonts w:eastAsia="宋体"/>
                      <w:sz w:val="24"/>
                      <w:szCs w:val="24"/>
                    </w:rPr>
                    <w:t>《</w:t>
                  </w:r>
                  <w:r>
                    <w:rPr>
                      <w:rFonts w:eastAsiaTheme="minorEastAsia"/>
                      <w:sz w:val="21"/>
                      <w:szCs w:val="21"/>
                    </w:rPr>
                    <w:t>大气污染物综合排放标准详解</w:t>
                  </w:r>
                  <w:r>
                    <w:rPr>
                      <w:rFonts w:eastAsia="宋体"/>
                      <w:sz w:val="24"/>
                      <w:szCs w:val="24"/>
                    </w:rPr>
                    <w:t>》</w:t>
                  </w:r>
                </w:p>
              </w:tc>
            </w:tr>
          </w:tbl>
          <w:p>
            <w:pPr>
              <w:ind w:firstLine="482" w:firstLineChars="200"/>
              <w:rPr>
                <w:rFonts w:eastAsia="宋体"/>
                <w:b/>
                <w:sz w:val="24"/>
                <w:szCs w:val="24"/>
              </w:rPr>
            </w:pPr>
            <w:r>
              <w:rPr>
                <w:rFonts w:eastAsia="宋体"/>
                <w:b/>
                <w:sz w:val="24"/>
                <w:szCs w:val="24"/>
              </w:rPr>
              <w:t>2、地表水环境质量标准</w:t>
            </w:r>
          </w:p>
          <w:p>
            <w:pPr>
              <w:tabs>
                <w:tab w:val="left" w:pos="1965"/>
              </w:tabs>
              <w:ind w:firstLine="480" w:firstLineChars="200"/>
              <w:rPr>
                <w:rFonts w:eastAsia="宋体"/>
                <w:sz w:val="24"/>
                <w:szCs w:val="24"/>
              </w:rPr>
            </w:pPr>
            <w:r>
              <w:rPr>
                <w:rFonts w:hint="eastAsia" w:eastAsia="宋体"/>
                <w:sz w:val="24"/>
                <w:szCs w:val="24"/>
              </w:rPr>
              <w:t>沂南河执行《地表水环境质量标准》（GB3838-2002）IV类水标准。</w:t>
            </w:r>
          </w:p>
          <w:p>
            <w:pPr>
              <w:jc w:val="center"/>
              <w:rPr>
                <w:rFonts w:eastAsia="宋体"/>
                <w:b/>
                <w:sz w:val="24"/>
                <w:szCs w:val="24"/>
              </w:rPr>
            </w:pPr>
            <w:r>
              <w:rPr>
                <w:rFonts w:eastAsia="宋体"/>
                <w:b/>
                <w:sz w:val="24"/>
                <w:szCs w:val="24"/>
              </w:rPr>
              <w:t>表4-2  地表水环境质量标准限值  单位：mg/L（pH为无量纲）</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7"/>
              <w:gridCol w:w="826"/>
              <w:gridCol w:w="1286"/>
              <w:gridCol w:w="1270"/>
              <w:gridCol w:w="1270"/>
              <w:gridCol w:w="1270"/>
              <w:gridCol w:w="12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项目</w:t>
                  </w:r>
                </w:p>
              </w:tc>
              <w:tc>
                <w:tcPr>
                  <w:tcW w:w="826" w:type="dxa"/>
                  <w:vAlign w:val="center"/>
                </w:tcPr>
                <w:p>
                  <w:pPr>
                    <w:widowControl w:val="0"/>
                    <w:tabs>
                      <w:tab w:val="center" w:pos="4153"/>
                      <w:tab w:val="right" w:pos="8306"/>
                    </w:tabs>
                    <w:snapToGrid w:val="0"/>
                    <w:spacing w:line="240" w:lineRule="auto"/>
                    <w:jc w:val="both"/>
                    <w:rPr>
                      <w:rFonts w:eastAsia="宋体"/>
                      <w:sz w:val="21"/>
                      <w:szCs w:val="21"/>
                    </w:rPr>
                  </w:pPr>
                  <w:r>
                    <w:rPr>
                      <w:rFonts w:eastAsia="宋体"/>
                      <w:sz w:val="21"/>
                      <w:szCs w:val="21"/>
                    </w:rPr>
                    <w:t xml:space="preserve">  PH</w:t>
                  </w:r>
                </w:p>
              </w:tc>
              <w:tc>
                <w:tcPr>
                  <w:tcW w:w="128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BOD</w:t>
                  </w:r>
                  <w:r>
                    <w:rPr>
                      <w:rFonts w:eastAsia="宋体"/>
                      <w:sz w:val="21"/>
                      <w:szCs w:val="21"/>
                      <w:vertAlign w:val="subscript"/>
                    </w:rPr>
                    <w:t>5</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ascii="宋体" w:hAnsi="宋体" w:eastAsia="宋体" w:cs="宋体"/>
                      <w:sz w:val="24"/>
                      <w:szCs w:val="24"/>
                    </w:rPr>
                    <w:t>IV</w:t>
                  </w:r>
                  <w:r>
                    <w:rPr>
                      <w:rFonts w:eastAsia="宋体"/>
                      <w:sz w:val="21"/>
                      <w:szCs w:val="21"/>
                    </w:rPr>
                    <w:t>类</w:t>
                  </w:r>
                </w:p>
              </w:tc>
              <w:tc>
                <w:tcPr>
                  <w:tcW w:w="8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6～9</w:t>
                  </w:r>
                </w:p>
              </w:tc>
              <w:tc>
                <w:tcPr>
                  <w:tcW w:w="128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r>
                    <w:rPr>
                      <w:rFonts w:hint="eastAsia" w:eastAsia="宋体"/>
                      <w:sz w:val="21"/>
                      <w:szCs w:val="21"/>
                    </w:rPr>
                    <w:t>30</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r>
                    <w:rPr>
                      <w:rFonts w:hint="eastAsia" w:eastAsia="宋体"/>
                      <w:sz w:val="21"/>
                      <w:szCs w:val="21"/>
                    </w:rPr>
                    <w:t>6</w:t>
                  </w:r>
                </w:p>
              </w:tc>
              <w:tc>
                <w:tcPr>
                  <w:tcW w:w="1270" w:type="dxa"/>
                  <w:vAlign w:val="center"/>
                </w:tcPr>
                <w:p>
                  <w:pPr>
                    <w:widowControl w:val="0"/>
                    <w:tabs>
                      <w:tab w:val="center" w:pos="4153"/>
                      <w:tab w:val="right" w:pos="8306"/>
                    </w:tabs>
                    <w:adjustRightInd w:val="0"/>
                    <w:snapToGrid w:val="0"/>
                    <w:spacing w:line="240" w:lineRule="auto"/>
                    <w:jc w:val="center"/>
                    <w:rPr>
                      <w:rFonts w:eastAsia="宋体"/>
                      <w:sz w:val="21"/>
                      <w:szCs w:val="21"/>
                    </w:rPr>
                  </w:pPr>
                  <w:r>
                    <w:rPr>
                      <w:rFonts w:eastAsia="宋体"/>
                      <w:sz w:val="21"/>
                      <w:szCs w:val="21"/>
                    </w:rPr>
                    <w:t>≤</w:t>
                  </w:r>
                  <w:r>
                    <w:rPr>
                      <w:rFonts w:hint="eastAsia" w:eastAsia="宋体"/>
                      <w:sz w:val="21"/>
                      <w:szCs w:val="21"/>
                    </w:rPr>
                    <w:t>0.3</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.5</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5</w:t>
                  </w:r>
                </w:p>
              </w:tc>
            </w:tr>
          </w:tbl>
          <w:p>
            <w:pPr>
              <w:ind w:firstLine="241" w:firstLineChars="100"/>
              <w:rPr>
                <w:rFonts w:eastAsia="宋体"/>
                <w:b/>
                <w:sz w:val="24"/>
                <w:szCs w:val="24"/>
              </w:rPr>
            </w:pPr>
            <w:r>
              <w:rPr>
                <w:rFonts w:eastAsia="宋体"/>
                <w:b/>
                <w:sz w:val="24"/>
                <w:szCs w:val="24"/>
              </w:rPr>
              <w:t>3、声环境质量标准</w:t>
            </w:r>
          </w:p>
          <w:p>
            <w:pPr>
              <w:tabs>
                <w:tab w:val="left" w:pos="1965"/>
              </w:tabs>
              <w:ind w:firstLine="480" w:firstLineChars="200"/>
              <w:rPr>
                <w:rFonts w:eastAsia="宋体"/>
                <w:sz w:val="24"/>
                <w:szCs w:val="24"/>
              </w:rPr>
            </w:pPr>
            <w:r>
              <w:rPr>
                <w:rFonts w:eastAsia="宋体"/>
                <w:sz w:val="24"/>
                <w:szCs w:val="24"/>
              </w:rPr>
              <w:t>项目所在地执行《声环境质量标准》（GB3096-2008）中</w:t>
            </w:r>
            <w:r>
              <w:rPr>
                <w:rFonts w:hint="eastAsia" w:eastAsia="宋体"/>
                <w:sz w:val="24"/>
                <w:szCs w:val="24"/>
                <w:lang w:val="en-US" w:eastAsia="zh-CN"/>
              </w:rPr>
              <w:t>2</w:t>
            </w:r>
            <w:r>
              <w:rPr>
                <w:rFonts w:eastAsia="宋体"/>
                <w:sz w:val="24"/>
                <w:szCs w:val="24"/>
              </w:rPr>
              <w:t>类标准。具体标准见表4-3。</w:t>
            </w:r>
          </w:p>
          <w:p>
            <w:pPr>
              <w:tabs>
                <w:tab w:val="left" w:pos="1965"/>
              </w:tabs>
              <w:ind w:firstLine="482" w:firstLineChars="200"/>
              <w:jc w:val="center"/>
              <w:rPr>
                <w:rFonts w:eastAsia="宋体"/>
                <w:b/>
                <w:sz w:val="24"/>
                <w:szCs w:val="24"/>
              </w:rPr>
            </w:pPr>
            <w:r>
              <w:rPr>
                <w:rFonts w:eastAsia="宋体"/>
                <w:b/>
                <w:sz w:val="24"/>
                <w:szCs w:val="24"/>
              </w:rPr>
              <w:t>表4-3  声环境质量标准    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268"/>
              <w:gridCol w:w="24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类别</w:t>
                  </w:r>
                </w:p>
              </w:tc>
              <w:tc>
                <w:tcPr>
                  <w:tcW w:w="226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245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226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245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pacing w:line="480" w:lineRule="exact"/>
              <w:ind w:firstLine="482" w:firstLineChars="200"/>
              <w:rPr>
                <w:rFonts w:eastAsia="宋体"/>
                <w:b/>
                <w:sz w:val="24"/>
                <w:szCs w:val="24"/>
              </w:rPr>
            </w:pPr>
            <w:r>
              <w:rPr>
                <w:rFonts w:hint="eastAsia" w:eastAsia="宋体"/>
                <w:b/>
                <w:sz w:val="24"/>
                <w:szCs w:val="24"/>
              </w:rPr>
              <w:t>4、土壤</w:t>
            </w:r>
            <w:r>
              <w:rPr>
                <w:rFonts w:eastAsia="宋体"/>
                <w:b/>
                <w:sz w:val="24"/>
                <w:szCs w:val="24"/>
              </w:rPr>
              <w:t>环境质量标准</w:t>
            </w:r>
          </w:p>
          <w:p>
            <w:pPr>
              <w:tabs>
                <w:tab w:val="left" w:pos="1965"/>
              </w:tabs>
              <w:ind w:firstLine="480" w:firstLineChars="200"/>
              <w:rPr>
                <w:rFonts w:eastAsia="宋体"/>
                <w:sz w:val="24"/>
                <w:szCs w:val="24"/>
              </w:rPr>
            </w:pPr>
            <w:r>
              <w:rPr>
                <w:rFonts w:hint="eastAsia" w:eastAsia="宋体"/>
                <w:sz w:val="24"/>
                <w:szCs w:val="24"/>
              </w:rPr>
              <w:t>建设项目为加油站，属于商业服务业设施用地，所在地执行《土壤环境质量 建设用地土壤污染风险管控标准（试行）》（GB36600-2018）中第二类用地筛选值。</w:t>
            </w:r>
          </w:p>
          <w:p>
            <w:pPr>
              <w:ind w:firstLine="480"/>
              <w:jc w:val="center"/>
              <w:rPr>
                <w:rFonts w:eastAsiaTheme="minorEastAsia"/>
                <w:b/>
                <w:color w:val="000000" w:themeColor="text1"/>
                <w:sz w:val="24"/>
                <w:szCs w:val="24"/>
              </w:rPr>
            </w:pPr>
            <w:r>
              <w:rPr>
                <w:rFonts w:eastAsiaTheme="minorEastAsia"/>
                <w:b/>
                <w:color w:val="000000" w:themeColor="text1"/>
                <w:sz w:val="24"/>
                <w:szCs w:val="24"/>
              </w:rPr>
              <w:t>表4-4 建设用地土壤污染风险筛选值</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953"/>
              <w:gridCol w:w="1794"/>
              <w:gridCol w:w="26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监测指标</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单位</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标准值</w:t>
                  </w:r>
                </w:p>
              </w:tc>
              <w:tc>
                <w:tcPr>
                  <w:tcW w:w="1514"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标准名称及级(类)别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铬（六价）</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5.7</w:t>
                  </w:r>
                </w:p>
              </w:tc>
              <w:tc>
                <w:tcPr>
                  <w:tcW w:w="1514" w:type="pct"/>
                  <w:vMerge w:val="restar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《土壤环境质量</w:t>
                  </w:r>
                  <w:r>
                    <w:rPr>
                      <w:rFonts w:ascii="Calibri" w:hAnsi="Calibri" w:eastAsia="宋体" w:cs="Calibri"/>
                      <w:color w:val="000000" w:themeColor="text1"/>
                      <w:sz w:val="21"/>
                      <w:szCs w:val="21"/>
                    </w:rPr>
                    <w:tab/>
                  </w:r>
                  <w:r>
                    <w:rPr>
                      <w:rFonts w:ascii="Calibri" w:hAnsi="Calibri" w:eastAsia="宋体" w:cs="Calibri"/>
                      <w:color w:val="000000" w:themeColor="text1"/>
                      <w:sz w:val="21"/>
                      <w:szCs w:val="21"/>
                    </w:rPr>
                    <w:t>建设用地土壤污染风险管控标准（试行）》</w:t>
                  </w:r>
                </w:p>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（GB36600-2018）中第二类用地筛选值标准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镍</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900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铜</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18000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镉</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65</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汞</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38.00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砷</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30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铅</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800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VOCs</w:t>
                  </w:r>
                </w:p>
              </w:tc>
              <w:tc>
                <w:tcPr>
                  <w:tcW w:w="3627" w:type="pct"/>
                  <w:gridSpan w:val="3"/>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《土壤环境质量</w:t>
                  </w:r>
                  <w:r>
                    <w:rPr>
                      <w:rFonts w:ascii="Calibri" w:hAnsi="Calibri" w:eastAsia="宋体" w:cs="Calibri"/>
                      <w:color w:val="000000" w:themeColor="text1"/>
                      <w:sz w:val="21"/>
                      <w:szCs w:val="21"/>
                    </w:rPr>
                    <w:tab/>
                  </w:r>
                  <w:r>
                    <w:rPr>
                      <w:rFonts w:ascii="Calibri" w:hAnsi="Calibri" w:eastAsia="宋体" w:cs="Calibri"/>
                      <w:color w:val="000000" w:themeColor="text1"/>
                      <w:sz w:val="21"/>
                      <w:szCs w:val="21"/>
                    </w:rPr>
                    <w:t>建设用地土壤污染风险管控标准（试行）》（GB36600-2018）</w:t>
                  </w:r>
                </w:p>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中第二类用地筛选值标准</w:t>
                  </w:r>
                </w:p>
              </w:tc>
            </w:tr>
          </w:tbl>
          <w:p>
            <w:pPr>
              <w:pStyle w:val="2"/>
              <w:ind w:firstLine="0" w:firstLineChars="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5"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污染物排放标准</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0" w:firstLineChars="200"/>
              <w:rPr>
                <w:rFonts w:eastAsia="宋体"/>
                <w:sz w:val="24"/>
                <w:szCs w:val="24"/>
              </w:rPr>
            </w:pPr>
            <w:r>
              <w:rPr>
                <w:rFonts w:eastAsia="宋体"/>
                <w:sz w:val="24"/>
                <w:szCs w:val="24"/>
              </w:rPr>
              <w:t>1、废气排放标准</w:t>
            </w:r>
          </w:p>
          <w:p>
            <w:pPr>
              <w:snapToGrid w:val="0"/>
              <w:ind w:firstLine="480" w:firstLineChars="200"/>
              <w:rPr>
                <w:rFonts w:eastAsia="宋体"/>
                <w:sz w:val="24"/>
                <w:szCs w:val="24"/>
              </w:rPr>
            </w:pPr>
            <w:r>
              <w:rPr>
                <w:rFonts w:hint="eastAsia" w:eastAsia="宋体"/>
                <w:sz w:val="24"/>
                <w:szCs w:val="24"/>
              </w:rPr>
              <w:t>本项目营运期卸油加油过程中产生的非甲烷总烃，经油气回收后无组织排放，油气排放执行《加油站大气污染物排放标准》（GB20952-2007）中的相关标准（油气排放浓度应小于等于25g/m</w:t>
            </w:r>
            <w:r>
              <w:rPr>
                <w:rFonts w:hint="eastAsia" w:eastAsia="宋体"/>
                <w:sz w:val="24"/>
                <w:szCs w:val="24"/>
                <w:vertAlign w:val="superscript"/>
              </w:rPr>
              <w:t>3</w:t>
            </w:r>
            <w:r>
              <w:rPr>
                <w:rFonts w:hint="eastAsia" w:eastAsia="宋体"/>
                <w:sz w:val="24"/>
                <w:szCs w:val="24"/>
              </w:rPr>
              <w:t>，排放口距地平面高度应不低于4m）。油气回收系统的液阻、密闭性压力应分别符合GB 20952中表1、表2限值要求。加油枪气液比应在大于等于1.0和小于等于1.2范围内。</w:t>
            </w:r>
          </w:p>
          <w:p>
            <w:pPr>
              <w:pStyle w:val="2"/>
              <w:snapToGrid w:val="0"/>
              <w:spacing w:after="0"/>
              <w:ind w:firstLine="0" w:firstLineChars="0"/>
              <w:rPr>
                <w:rFonts w:eastAsia="宋体"/>
                <w:sz w:val="24"/>
                <w:szCs w:val="24"/>
              </w:rPr>
            </w:pPr>
            <w:r>
              <w:rPr>
                <w:rFonts w:hint="eastAsia" w:eastAsia="宋体"/>
                <w:sz w:val="24"/>
                <w:szCs w:val="24"/>
              </w:rPr>
              <w:t>本项目站场边界挥发性有机物（非甲烷总烃）无组织排放监控浓度</w:t>
            </w:r>
            <w:r>
              <w:rPr>
                <w:rFonts w:eastAsia="宋体"/>
                <w:sz w:val="24"/>
                <w:szCs w:val="24"/>
              </w:rPr>
              <w:t>执行</w:t>
            </w:r>
            <w:r>
              <w:rPr>
                <w:rFonts w:hint="eastAsia" w:eastAsia="宋体"/>
                <w:sz w:val="24"/>
                <w:szCs w:val="24"/>
              </w:rPr>
              <w:t>《大气污染物综合排放标准》（GB16297-1996）表2限值。站内VOCs 无组织排放执行</w:t>
            </w:r>
            <w:r>
              <w:rPr>
                <w:rFonts w:eastAsia="宋体"/>
                <w:sz w:val="24"/>
                <w:szCs w:val="24"/>
              </w:rPr>
              <w:t>《</w:t>
            </w:r>
            <w:r>
              <w:rPr>
                <w:rFonts w:hint="eastAsia" w:eastAsia="宋体"/>
                <w:sz w:val="24"/>
                <w:szCs w:val="24"/>
              </w:rPr>
              <w:t>挥发性有机物无组织排放控制标准</w:t>
            </w:r>
            <w:r>
              <w:rPr>
                <w:rFonts w:eastAsia="宋体"/>
                <w:sz w:val="24"/>
                <w:szCs w:val="24"/>
              </w:rPr>
              <w:t>》（GB37822</w:t>
            </w:r>
            <w:r>
              <w:rPr>
                <w:rFonts w:hint="eastAsia" w:eastAsia="宋体"/>
                <w:sz w:val="24"/>
                <w:szCs w:val="24"/>
              </w:rPr>
              <w:t>-</w:t>
            </w:r>
            <w:r>
              <w:rPr>
                <w:rFonts w:eastAsia="宋体"/>
                <w:sz w:val="24"/>
                <w:szCs w:val="24"/>
              </w:rPr>
              <w:t>2019）</w:t>
            </w:r>
            <w:r>
              <w:rPr>
                <w:rFonts w:hint="eastAsia" w:eastAsia="宋体"/>
                <w:sz w:val="24"/>
                <w:szCs w:val="24"/>
              </w:rPr>
              <w:t>附录A监控要求。</w:t>
            </w:r>
          </w:p>
          <w:p>
            <w:pPr>
              <w:pStyle w:val="2"/>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rPr>
              <w:t>5</w:t>
            </w:r>
            <w:r>
              <w:rPr>
                <w:rFonts w:eastAsia="宋体"/>
                <w:b/>
                <w:sz w:val="24"/>
                <w:szCs w:val="24"/>
              </w:rPr>
              <w:t xml:space="preserve">  无组织排放监控浓度限值</w:t>
            </w:r>
          </w:p>
          <w:tbl>
            <w:tblPr>
              <w:tblStyle w:val="28"/>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275"/>
              <w:gridCol w:w="2124"/>
              <w:gridCol w:w="3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70"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标准</w:t>
                  </w:r>
                </w:p>
              </w:tc>
              <w:tc>
                <w:tcPr>
                  <w:tcW w:w="1276"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污染物</w:t>
                  </w:r>
                </w:p>
              </w:tc>
              <w:tc>
                <w:tcPr>
                  <w:tcW w:w="5974" w:type="dxa"/>
                  <w:gridSpan w:val="2"/>
                  <w:tcBorders>
                    <w:top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570"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1276"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2126" w:type="dxa"/>
                  <w:tcBorders>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监控点</w:t>
                  </w:r>
                </w:p>
              </w:tc>
              <w:tc>
                <w:tcPr>
                  <w:tcW w:w="3848" w:type="dxa"/>
                  <w:tcBorders>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浓度mg/m</w:t>
                  </w:r>
                  <w:r>
                    <w:rPr>
                      <w:rFonts w:eastAsia="宋体"/>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tcBorders>
                    <w:top w:val="single" w:color="auto" w:sz="12" w:space="0"/>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GB16297-1996</w:t>
                  </w:r>
                </w:p>
              </w:tc>
              <w:tc>
                <w:tcPr>
                  <w:tcW w:w="1276" w:type="dxa"/>
                  <w:tcBorders>
                    <w:top w:val="single" w:color="auto" w:sz="12" w:space="0"/>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非甲烷总烃</w:t>
                  </w:r>
                </w:p>
              </w:tc>
              <w:tc>
                <w:tcPr>
                  <w:tcW w:w="2126" w:type="dxa"/>
                  <w:tcBorders>
                    <w:top w:val="single" w:color="auto" w:sz="12" w:space="0"/>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周界外浓度最高点</w:t>
                  </w: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GB37822-2019</w:t>
                  </w:r>
                </w:p>
              </w:tc>
              <w:tc>
                <w:tcPr>
                  <w:tcW w:w="1276"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非甲烷总烃</w:t>
                  </w:r>
                </w:p>
              </w:tc>
              <w:tc>
                <w:tcPr>
                  <w:tcW w:w="2126" w:type="dxa"/>
                  <w:vMerge w:val="restart"/>
                  <w:tcBorders>
                    <w:top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在厂房外设置监控点</w:t>
                  </w: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6（监控点处 1 h 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1276"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2126" w:type="dxa"/>
                  <w:vMerge w:val="continue"/>
                  <w:tcBorders>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20（监控点处任意一次浓度值）</w:t>
                  </w:r>
                </w:p>
              </w:tc>
            </w:tr>
          </w:tbl>
          <w:p>
            <w:pPr>
              <w:snapToGrid w:val="0"/>
              <w:ind w:firstLine="480" w:firstLineChars="200"/>
              <w:rPr>
                <w:rFonts w:eastAsia="宋体"/>
                <w:sz w:val="24"/>
                <w:szCs w:val="24"/>
              </w:rPr>
            </w:pPr>
            <w:r>
              <w:rPr>
                <w:rFonts w:eastAsia="宋体"/>
                <w:sz w:val="24"/>
                <w:szCs w:val="24"/>
              </w:rPr>
              <w:t>2、水污染物排放标准</w:t>
            </w:r>
          </w:p>
          <w:p>
            <w:pPr>
              <w:snapToGrid w:val="0"/>
              <w:ind w:firstLine="480" w:firstLineChars="200"/>
              <w:rPr>
                <w:rFonts w:eastAsia="宋体"/>
                <w:sz w:val="24"/>
                <w:szCs w:val="24"/>
              </w:rPr>
            </w:pPr>
            <w:r>
              <w:rPr>
                <w:rFonts w:eastAsia="宋体"/>
                <w:sz w:val="24"/>
                <w:szCs w:val="24"/>
              </w:rPr>
              <w:t>污水站设计尾水排放标准执行《城镇污水处理厂污染物排放标准（GB18918-2002）中的一级</w:t>
            </w:r>
            <w:r>
              <w:rPr>
                <w:rFonts w:hint="eastAsia" w:eastAsia="宋体"/>
                <w:sz w:val="24"/>
                <w:szCs w:val="24"/>
              </w:rPr>
              <w:t>A</w:t>
            </w:r>
            <w:r>
              <w:rPr>
                <w:rFonts w:eastAsia="宋体"/>
                <w:sz w:val="24"/>
                <w:szCs w:val="24"/>
              </w:rPr>
              <w:t>标准。具体见表4-</w:t>
            </w:r>
            <w:r>
              <w:rPr>
                <w:rFonts w:hint="eastAsia" w:eastAsia="宋体"/>
                <w:sz w:val="24"/>
                <w:szCs w:val="24"/>
              </w:rPr>
              <w:t>6</w:t>
            </w:r>
            <w:r>
              <w:rPr>
                <w:rFonts w:eastAsia="宋体"/>
                <w:sz w:val="24"/>
                <w:szCs w:val="24"/>
              </w:rPr>
              <w:t>。</w:t>
            </w:r>
          </w:p>
          <w:p>
            <w:pPr>
              <w:snapToGrid w:val="0"/>
              <w:ind w:firstLine="482" w:firstLineChars="200"/>
              <w:jc w:val="center"/>
              <w:rPr>
                <w:rFonts w:eastAsia="宋体"/>
                <w:b/>
                <w:bCs/>
                <w:sz w:val="24"/>
                <w:szCs w:val="24"/>
              </w:rPr>
            </w:pPr>
            <w:r>
              <w:rPr>
                <w:rFonts w:eastAsia="宋体"/>
                <w:b/>
                <w:bCs/>
                <w:sz w:val="24"/>
                <w:szCs w:val="24"/>
              </w:rPr>
              <w:t>表4-</w:t>
            </w:r>
            <w:r>
              <w:rPr>
                <w:rFonts w:hint="eastAsia" w:eastAsia="宋体"/>
                <w:b/>
                <w:bCs/>
                <w:sz w:val="24"/>
                <w:szCs w:val="24"/>
              </w:rPr>
              <w:t>6</w:t>
            </w:r>
            <w:r>
              <w:rPr>
                <w:rFonts w:eastAsia="宋体"/>
                <w:b/>
                <w:bCs/>
                <w:sz w:val="24"/>
                <w:szCs w:val="24"/>
              </w:rPr>
              <w:t xml:space="preserve"> 水污染物排放标准  （单位：mg/L）</w:t>
            </w:r>
          </w:p>
          <w:tbl>
            <w:tblPr>
              <w:tblStyle w:val="28"/>
              <w:tblW w:w="88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19"/>
              <w:gridCol w:w="1134"/>
              <w:gridCol w:w="1134"/>
              <w:gridCol w:w="1418"/>
              <w:gridCol w:w="1275"/>
              <w:gridCol w:w="1222"/>
              <w:gridCol w:w="13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19" w:type="dxa"/>
                  <w:tcBorders>
                    <w:top w:val="single" w:color="auto" w:sz="12" w:space="0"/>
                    <w:left w:val="nil"/>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hint="eastAsia" w:ascii="宋体" w:hAnsi="宋体" w:eastAsia="宋体" w:cs="宋体"/>
                      <w:sz w:val="21"/>
                      <w:szCs w:val="21"/>
                    </w:rPr>
                    <w:t>类别</w:t>
                  </w:r>
                </w:p>
              </w:tc>
              <w:tc>
                <w:tcPr>
                  <w:tcW w:w="1134" w:type="dxa"/>
                  <w:tcBorders>
                    <w:top w:val="single" w:color="auto" w:sz="12" w:space="0"/>
                    <w:bottom w:val="single" w:color="auto" w:sz="12"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PH</w:t>
                  </w:r>
                </w:p>
              </w:tc>
              <w:tc>
                <w:tcPr>
                  <w:tcW w:w="1134"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eastAsia="Times New Roman"/>
                      <w:sz w:val="21"/>
                      <w:szCs w:val="21"/>
                    </w:rPr>
                    <w:t>COD</w:t>
                  </w:r>
                  <w:r>
                    <w:rPr>
                      <w:rFonts w:hint="eastAsia" w:eastAsiaTheme="minorEastAsia"/>
                      <w:sz w:val="21"/>
                      <w:szCs w:val="21"/>
                    </w:rPr>
                    <w:t>cr</w:t>
                  </w:r>
                </w:p>
              </w:tc>
              <w:tc>
                <w:tcPr>
                  <w:tcW w:w="1418"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SS</w:t>
                  </w:r>
                </w:p>
              </w:tc>
              <w:tc>
                <w:tcPr>
                  <w:tcW w:w="1275"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NH</w:t>
                  </w:r>
                  <w:r>
                    <w:rPr>
                      <w:rFonts w:eastAsia="Times New Roman"/>
                      <w:sz w:val="21"/>
                      <w:szCs w:val="21"/>
                      <w:vertAlign w:val="subscript"/>
                    </w:rPr>
                    <w:t>3</w:t>
                  </w:r>
                  <w:r>
                    <w:rPr>
                      <w:rFonts w:eastAsia="Times New Roman"/>
                      <w:sz w:val="21"/>
                      <w:szCs w:val="21"/>
                    </w:rPr>
                    <w:t>-N</w:t>
                  </w:r>
                </w:p>
              </w:tc>
              <w:tc>
                <w:tcPr>
                  <w:tcW w:w="1222" w:type="dxa"/>
                  <w:tcBorders>
                    <w:top w:val="single" w:color="auto" w:sz="12" w:space="0"/>
                    <w:bottom w:val="single" w:color="auto" w:sz="12" w:space="0"/>
                    <w:right w:val="single" w:color="auto" w:sz="4"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TP</w:t>
                  </w:r>
                </w:p>
              </w:tc>
              <w:tc>
                <w:tcPr>
                  <w:tcW w:w="1370" w:type="dxa"/>
                  <w:tcBorders>
                    <w:top w:val="single" w:color="auto" w:sz="12"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TN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19" w:type="dxa"/>
                  <w:tcBorders>
                    <w:top w:val="single" w:color="auto" w:sz="12" w:space="0"/>
                    <w:left w:val="nil"/>
                    <w:bottom w:val="single" w:color="auto" w:sz="6" w:space="0"/>
                  </w:tcBorders>
                  <w:vAlign w:val="center"/>
                </w:tcPr>
                <w:p>
                  <w:pPr>
                    <w:widowControl w:val="0"/>
                    <w:tabs>
                      <w:tab w:val="left" w:pos="360"/>
                    </w:tabs>
                    <w:snapToGrid w:val="0"/>
                    <w:spacing w:line="240" w:lineRule="auto"/>
                    <w:jc w:val="center"/>
                    <w:rPr>
                      <w:rFonts w:eastAsia="Times New Roman"/>
                      <w:sz w:val="21"/>
                      <w:szCs w:val="21"/>
                    </w:rPr>
                  </w:pPr>
                  <w:r>
                    <w:rPr>
                      <w:rFonts w:hint="eastAsia" w:ascii="宋体" w:hAnsi="宋体" w:eastAsia="宋体" w:cs="宋体"/>
                      <w:sz w:val="21"/>
                      <w:szCs w:val="21"/>
                    </w:rPr>
                    <w:t>接管标准</w:t>
                  </w:r>
                </w:p>
              </w:tc>
              <w:tc>
                <w:tcPr>
                  <w:tcW w:w="1134" w:type="dxa"/>
                  <w:tcBorders>
                    <w:top w:val="single" w:color="auto" w:sz="12" w:space="0"/>
                    <w:bottom w:val="single" w:color="auto" w:sz="6"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6</w:t>
                  </w:r>
                  <w:r>
                    <w:rPr>
                      <w:rFonts w:hint="eastAsia" w:ascii="宋体" w:hAnsi="宋体" w:eastAsia="宋体" w:cs="宋体"/>
                      <w:sz w:val="21"/>
                      <w:szCs w:val="21"/>
                    </w:rPr>
                    <w:t>～</w:t>
                  </w:r>
                  <w:r>
                    <w:rPr>
                      <w:rFonts w:eastAsia="Times New Roman"/>
                      <w:sz w:val="21"/>
                      <w:szCs w:val="21"/>
                    </w:rPr>
                    <w:t>9</w:t>
                  </w:r>
                </w:p>
              </w:tc>
              <w:tc>
                <w:tcPr>
                  <w:tcW w:w="1134"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500</w:t>
                  </w:r>
                </w:p>
              </w:tc>
              <w:tc>
                <w:tcPr>
                  <w:tcW w:w="1418"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400</w:t>
                  </w:r>
                </w:p>
              </w:tc>
              <w:tc>
                <w:tcPr>
                  <w:tcW w:w="1275"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35</w:t>
                  </w:r>
                </w:p>
              </w:tc>
              <w:tc>
                <w:tcPr>
                  <w:tcW w:w="1222" w:type="dxa"/>
                  <w:tcBorders>
                    <w:top w:val="single" w:color="auto" w:sz="12" w:space="0"/>
                    <w:bottom w:val="single" w:color="auto" w:sz="6" w:space="0"/>
                    <w:right w:val="single" w:color="auto" w:sz="4"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8.0</w:t>
                  </w:r>
                </w:p>
              </w:tc>
              <w:tc>
                <w:tcPr>
                  <w:tcW w:w="1370" w:type="dxa"/>
                  <w:tcBorders>
                    <w:top w:val="single" w:color="auto" w:sz="12" w:space="0"/>
                    <w:left w:val="single" w:color="auto" w:sz="4" w:space="0"/>
                    <w:bottom w:val="single" w:color="auto" w:sz="6"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19" w:type="dxa"/>
                  <w:tcBorders>
                    <w:top w:val="single" w:color="auto" w:sz="6" w:space="0"/>
                    <w:left w:val="nil"/>
                    <w:bottom w:val="single" w:color="auto" w:sz="12" w:space="0"/>
                  </w:tcBorders>
                  <w:vAlign w:val="center"/>
                </w:tcPr>
                <w:p>
                  <w:pPr>
                    <w:widowControl w:val="0"/>
                    <w:tabs>
                      <w:tab w:val="left" w:pos="360"/>
                    </w:tabs>
                    <w:snapToGrid w:val="0"/>
                    <w:spacing w:line="240" w:lineRule="auto"/>
                    <w:jc w:val="center"/>
                    <w:rPr>
                      <w:rFonts w:ascii="宋体" w:hAnsi="宋体" w:eastAsia="宋体" w:cs="宋体"/>
                      <w:sz w:val="21"/>
                      <w:szCs w:val="21"/>
                    </w:rPr>
                  </w:pPr>
                  <w:r>
                    <w:rPr>
                      <w:rFonts w:hint="eastAsia" w:ascii="宋体" w:hAnsi="宋体" w:eastAsia="宋体" w:cs="宋体"/>
                      <w:sz w:val="21"/>
                      <w:szCs w:val="21"/>
                    </w:rPr>
                    <w:t>排放标准</w:t>
                  </w:r>
                </w:p>
              </w:tc>
              <w:tc>
                <w:tcPr>
                  <w:tcW w:w="1134" w:type="dxa"/>
                  <w:tcBorders>
                    <w:top w:val="single" w:color="auto" w:sz="6" w:space="0"/>
                    <w:bottom w:val="single" w:color="auto" w:sz="12"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6</w:t>
                  </w:r>
                  <w:r>
                    <w:rPr>
                      <w:rFonts w:hint="eastAsia" w:ascii="宋体" w:hAnsi="宋体" w:eastAsia="宋体" w:cs="宋体"/>
                      <w:sz w:val="21"/>
                      <w:szCs w:val="21"/>
                    </w:rPr>
                    <w:t>～</w:t>
                  </w:r>
                  <w:r>
                    <w:rPr>
                      <w:rFonts w:eastAsia="Times New Roman"/>
                      <w:sz w:val="21"/>
                      <w:szCs w:val="21"/>
                    </w:rPr>
                    <w:t>9</w:t>
                  </w:r>
                </w:p>
              </w:tc>
              <w:tc>
                <w:tcPr>
                  <w:tcW w:w="1134"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50</w:t>
                  </w:r>
                </w:p>
              </w:tc>
              <w:tc>
                <w:tcPr>
                  <w:tcW w:w="1418"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10</w:t>
                  </w:r>
                </w:p>
              </w:tc>
              <w:tc>
                <w:tcPr>
                  <w:tcW w:w="1275"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5（8）</w:t>
                  </w:r>
                </w:p>
              </w:tc>
              <w:tc>
                <w:tcPr>
                  <w:tcW w:w="1222" w:type="dxa"/>
                  <w:tcBorders>
                    <w:top w:val="single" w:color="auto" w:sz="6" w:space="0"/>
                    <w:bottom w:val="single" w:color="auto" w:sz="12" w:space="0"/>
                    <w:right w:val="single" w:color="auto" w:sz="4" w:space="0"/>
                  </w:tcBorders>
                  <w:vAlign w:val="center"/>
                </w:tcPr>
                <w:p>
                  <w:pPr>
                    <w:widowControl w:val="0"/>
                    <w:tabs>
                      <w:tab w:val="left" w:pos="360"/>
                    </w:tabs>
                    <w:snapToGrid w:val="0"/>
                    <w:spacing w:line="240" w:lineRule="auto"/>
                    <w:jc w:val="center"/>
                    <w:rPr>
                      <w:rFonts w:eastAsia="宋体"/>
                      <w:sz w:val="21"/>
                      <w:szCs w:val="21"/>
                    </w:rPr>
                  </w:pPr>
                  <w:r>
                    <w:rPr>
                      <w:rFonts w:hint="eastAsia" w:eastAsiaTheme="minorEastAsia"/>
                      <w:sz w:val="21"/>
                      <w:szCs w:val="21"/>
                    </w:rPr>
                    <w:t>0.5</w:t>
                  </w:r>
                </w:p>
              </w:tc>
              <w:tc>
                <w:tcPr>
                  <w:tcW w:w="1370" w:type="dxa"/>
                  <w:tcBorders>
                    <w:top w:val="single" w:color="auto" w:sz="6"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15</w:t>
                  </w:r>
                </w:p>
              </w:tc>
            </w:tr>
          </w:tbl>
          <w:p>
            <w:pPr>
              <w:snapToGrid w:val="0"/>
              <w:ind w:firstLine="480" w:firstLineChars="200"/>
              <w:rPr>
                <w:rFonts w:eastAsia="宋体"/>
                <w:sz w:val="24"/>
                <w:szCs w:val="24"/>
              </w:rPr>
            </w:pPr>
            <w:r>
              <w:rPr>
                <w:rFonts w:hint="eastAsia" w:eastAsia="宋体"/>
                <w:sz w:val="24"/>
                <w:szCs w:val="24"/>
              </w:rPr>
              <w:t>3</w:t>
            </w:r>
            <w:r>
              <w:rPr>
                <w:rFonts w:eastAsia="宋体"/>
                <w:sz w:val="24"/>
                <w:szCs w:val="24"/>
              </w:rPr>
              <w:t>、噪声排放标准</w:t>
            </w:r>
          </w:p>
          <w:p>
            <w:pPr>
              <w:snapToGrid w:val="0"/>
              <w:ind w:firstLine="480" w:firstLineChars="200"/>
              <w:rPr>
                <w:rFonts w:eastAsia="宋体"/>
                <w:sz w:val="24"/>
                <w:szCs w:val="24"/>
              </w:rPr>
            </w:pPr>
            <w:r>
              <w:rPr>
                <w:rFonts w:eastAsia="宋体"/>
                <w:sz w:val="24"/>
                <w:szCs w:val="24"/>
              </w:rPr>
              <w:t>建设项目噪声排放执行《工业企业厂界环境噪声排放标准》（GB12348-2008）中</w:t>
            </w:r>
            <w:r>
              <w:rPr>
                <w:rFonts w:hint="eastAsia" w:eastAsia="宋体"/>
                <w:sz w:val="24"/>
                <w:szCs w:val="24"/>
              </w:rPr>
              <w:t>2</w:t>
            </w:r>
            <w:r>
              <w:rPr>
                <w:rFonts w:eastAsia="宋体"/>
                <w:sz w:val="24"/>
                <w:szCs w:val="24"/>
              </w:rPr>
              <w:t>类标准。具体见表4-</w:t>
            </w:r>
            <w:r>
              <w:rPr>
                <w:rFonts w:hint="eastAsia" w:eastAsia="宋体"/>
                <w:sz w:val="24"/>
                <w:szCs w:val="24"/>
              </w:rPr>
              <w:t>7</w:t>
            </w:r>
            <w:r>
              <w:rPr>
                <w:rFonts w:eastAsia="宋体"/>
                <w:sz w:val="24"/>
                <w:szCs w:val="24"/>
              </w:rPr>
              <w:t>。</w:t>
            </w:r>
          </w:p>
          <w:p>
            <w:pPr>
              <w:pStyle w:val="2"/>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rPr>
              <w:t>7</w:t>
            </w:r>
            <w:r>
              <w:rPr>
                <w:rFonts w:eastAsia="宋体"/>
                <w:b/>
                <w:sz w:val="24"/>
                <w:szCs w:val="24"/>
              </w:rPr>
              <w:t xml:space="preserve"> 建设项目厂界噪声排放标准    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3142"/>
              <w:gridCol w:w="3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sz w:val="21"/>
                      <w:szCs w:val="21"/>
                    </w:rPr>
                    <w:t>类别</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napToGrid w:val="0"/>
              <w:ind w:firstLine="480" w:firstLineChars="200"/>
              <w:rPr>
                <w:rFonts w:eastAsia="宋体"/>
                <w:sz w:val="24"/>
                <w:szCs w:val="24"/>
              </w:rPr>
            </w:pPr>
            <w:r>
              <w:rPr>
                <w:rFonts w:hint="eastAsia" w:eastAsia="宋体"/>
                <w:sz w:val="24"/>
                <w:szCs w:val="24"/>
              </w:rPr>
              <w:t>4</w:t>
            </w:r>
            <w:r>
              <w:rPr>
                <w:rFonts w:eastAsia="宋体"/>
                <w:sz w:val="24"/>
                <w:szCs w:val="24"/>
              </w:rPr>
              <w:t>、固废</w:t>
            </w:r>
          </w:p>
          <w:p>
            <w:pPr>
              <w:snapToGrid w:val="0"/>
              <w:ind w:firstLine="480" w:firstLineChars="200"/>
              <w:rPr>
                <w:rFonts w:eastAsia="宋体"/>
                <w:sz w:val="24"/>
                <w:szCs w:val="24"/>
              </w:rPr>
            </w:pPr>
            <w:r>
              <w:rPr>
                <w:rFonts w:eastAsia="宋体"/>
                <w:sz w:val="24"/>
                <w:szCs w:val="24"/>
              </w:rPr>
              <w:t>一般固体废物处理、处置执行《一般工业固体废物贮存、处置场污染控制标准》（GB18599-2001）及标准修改单</w:t>
            </w:r>
            <w:r>
              <w:rPr>
                <w:rFonts w:hint="eastAsia" w:eastAsia="宋体"/>
                <w:sz w:val="24"/>
                <w:szCs w:val="24"/>
              </w:rPr>
              <w:t>的有关规定</w:t>
            </w:r>
            <w:r>
              <w:rPr>
                <w:rFonts w:eastAsia="宋体"/>
                <w:sz w:val="24"/>
                <w:szCs w:val="24"/>
              </w:rPr>
              <w:t>。</w:t>
            </w:r>
          </w:p>
          <w:p>
            <w:pPr>
              <w:snapToGrid w:val="0"/>
              <w:ind w:firstLine="480" w:firstLineChars="200"/>
              <w:rPr>
                <w:rFonts w:eastAsia="宋体"/>
                <w:b/>
                <w:sz w:val="24"/>
                <w:szCs w:val="24"/>
              </w:rPr>
            </w:pPr>
            <w:r>
              <w:rPr>
                <w:rFonts w:hint="eastAsia" w:eastAsia="宋体"/>
                <w:sz w:val="24"/>
                <w:szCs w:val="24"/>
              </w:rPr>
              <w:t>危险固废执行《危险废物贮存污染控制标准》（GB18597-2001）（2013 年修定）。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7"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总</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量</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控</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制</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指</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标</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2" w:firstLineChars="200"/>
              <w:rPr>
                <w:rFonts w:eastAsia="宋体"/>
                <w:b/>
                <w:sz w:val="24"/>
                <w:szCs w:val="24"/>
              </w:rPr>
            </w:pPr>
            <w:r>
              <w:rPr>
                <w:rFonts w:eastAsia="宋体"/>
                <w:b/>
                <w:sz w:val="24"/>
                <w:szCs w:val="24"/>
              </w:rPr>
              <w:t>本项目运营期污染物排放总量控制指标建议：</w:t>
            </w:r>
          </w:p>
          <w:p>
            <w:pPr>
              <w:snapToGrid w:val="0"/>
              <w:ind w:firstLine="480" w:firstLineChars="200"/>
              <w:rPr>
                <w:rFonts w:eastAsia="宋体"/>
                <w:sz w:val="24"/>
                <w:szCs w:val="24"/>
              </w:rPr>
            </w:pPr>
            <w:r>
              <w:rPr>
                <w:rFonts w:hint="eastAsia" w:eastAsia="宋体"/>
                <w:sz w:val="24"/>
                <w:szCs w:val="24"/>
              </w:rPr>
              <w:t xml:space="preserve">废水： </w:t>
            </w:r>
          </w:p>
          <w:p>
            <w:pPr>
              <w:autoSpaceDE w:val="0"/>
              <w:autoSpaceDN w:val="0"/>
              <w:adjustRightInd w:val="0"/>
              <w:ind w:left="140" w:leftChars="50" w:right="140" w:rightChars="50" w:firstLine="480" w:firstLineChars="200"/>
              <w:rPr>
                <w:rFonts w:eastAsia="宋体"/>
                <w:color w:val="000000"/>
                <w:kern w:val="0"/>
                <w:sz w:val="24"/>
                <w:szCs w:val="24"/>
              </w:rPr>
            </w:pPr>
            <w:r>
              <w:rPr>
                <w:rFonts w:eastAsia="宋体"/>
                <w:sz w:val="24"/>
                <w:szCs w:val="24"/>
              </w:rPr>
              <w:t>废水接管考核量：</w:t>
            </w:r>
            <w:r>
              <w:rPr>
                <w:rFonts w:eastAsia="宋体"/>
                <w:color w:val="000000"/>
                <w:sz w:val="24"/>
                <w:szCs w:val="24"/>
              </w:rPr>
              <w:t>废水量≤686.4/a、</w:t>
            </w:r>
            <w:r>
              <w:rPr>
                <w:rFonts w:eastAsia="宋体"/>
                <w:color w:val="000000"/>
                <w:kern w:val="0"/>
                <w:sz w:val="24"/>
                <w:szCs w:val="24"/>
              </w:rPr>
              <w:t>COD≤0.21t/a、SS≤0.14t/a、氨氮≤0.017t/a、TP ≤0.0021t/a、TN ≤0.031t/a，</w:t>
            </w:r>
          </w:p>
          <w:p>
            <w:pPr>
              <w:autoSpaceDE w:val="0"/>
              <w:autoSpaceDN w:val="0"/>
              <w:adjustRightInd w:val="0"/>
              <w:ind w:left="140" w:leftChars="50" w:right="140" w:rightChars="50" w:firstLine="480" w:firstLineChars="200"/>
            </w:pPr>
            <w:r>
              <w:rPr>
                <w:rFonts w:eastAsia="宋体"/>
                <w:color w:val="000000"/>
                <w:sz w:val="24"/>
                <w:szCs w:val="24"/>
              </w:rPr>
              <w:t>废水最终</w:t>
            </w:r>
            <w:r>
              <w:rPr>
                <w:rFonts w:eastAsia="宋体"/>
                <w:color w:val="000000"/>
                <w:kern w:val="0"/>
                <w:sz w:val="24"/>
              </w:rPr>
              <w:t>排放量</w:t>
            </w:r>
            <w:r>
              <w:rPr>
                <w:rFonts w:eastAsia="宋体"/>
                <w:color w:val="000000"/>
                <w:sz w:val="24"/>
                <w:szCs w:val="24"/>
              </w:rPr>
              <w:t>：废水量≤686.4t/a、</w:t>
            </w:r>
            <w:r>
              <w:rPr>
                <w:rFonts w:eastAsia="宋体"/>
                <w:color w:val="000000"/>
                <w:kern w:val="0"/>
                <w:sz w:val="24"/>
                <w:szCs w:val="24"/>
              </w:rPr>
              <w:t>COD≤0.0034t/a、SS≤0.007t/a、氨氮≤0.0034t/a（0.0055t/a）、TP ≤0.00034t/a、TN≤0.010t/a。</w:t>
            </w:r>
          </w:p>
          <w:p>
            <w:pPr>
              <w:pStyle w:val="2"/>
              <w:ind w:firstLine="240"/>
              <w:rPr>
                <w:rFonts w:eastAsia="宋体"/>
                <w:b/>
                <w:sz w:val="24"/>
                <w:szCs w:val="24"/>
              </w:rPr>
            </w:pPr>
            <w:r>
              <w:rPr>
                <w:rStyle w:val="36"/>
                <w:rFonts w:hint="eastAsia"/>
                <w:lang w:val="en-US" w:eastAsia="zh-CN"/>
              </w:rPr>
              <w:t xml:space="preserve"> </w:t>
            </w:r>
            <w:r>
              <w:rPr>
                <w:rFonts w:eastAsia="宋体"/>
                <w:sz w:val="24"/>
                <w:szCs w:val="24"/>
              </w:rPr>
              <w:t>固废：零排放。</w:t>
            </w:r>
          </w:p>
        </w:tc>
      </w:tr>
    </w:tbl>
    <w:p>
      <w:pPr>
        <w:pStyle w:val="3"/>
        <w:spacing w:line="400" w:lineRule="exact"/>
        <w:rPr>
          <w:rFonts w:eastAsia="宋体"/>
          <w:b/>
          <w:sz w:val="28"/>
          <w:szCs w:val="28"/>
        </w:rPr>
      </w:pPr>
    </w:p>
    <w:p>
      <w:pPr>
        <w:outlineLvl w:val="0"/>
        <w:rPr>
          <w:rFonts w:eastAsia="宋体"/>
          <w:b/>
        </w:rPr>
        <w:sectPr>
          <w:pgSz w:w="11907" w:h="16840"/>
          <w:pgMar w:top="1418" w:right="1418" w:bottom="1418" w:left="1418" w:header="851" w:footer="992" w:gutter="0"/>
          <w:cols w:space="720" w:num="1"/>
          <w:docGrid w:linePitch="387" w:charSpace="-5735"/>
        </w:sectPr>
      </w:pPr>
    </w:p>
    <w:p>
      <w:pPr>
        <w:outlineLvl w:val="0"/>
        <w:rPr>
          <w:rFonts w:eastAsia="宋体"/>
          <w:b/>
        </w:rPr>
      </w:pPr>
      <w:r>
        <w:rPr>
          <w:rFonts w:eastAsia="宋体"/>
          <w:b/>
        </w:rPr>
        <w:t>五、建设项目工程分析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7" w:hRule="atLeast"/>
          <w:jc w:val="center"/>
        </w:trPr>
        <w:tc>
          <w:tcPr>
            <w:tcW w:w="9287" w:type="dxa"/>
          </w:tcPr>
          <w:p>
            <w:pPr>
              <w:rPr>
                <w:rFonts w:eastAsia="宋体"/>
                <w:b/>
                <w:sz w:val="24"/>
                <w:szCs w:val="24"/>
              </w:rPr>
            </w:pPr>
            <w:r>
              <w:rPr>
                <w:rFonts w:eastAsia="宋体"/>
                <w:b/>
                <w:sz w:val="24"/>
                <w:szCs w:val="24"/>
              </w:rPr>
              <w:t>一、工艺流程简述：</w:t>
            </w:r>
          </w:p>
          <w:p>
            <w:pPr>
              <w:snapToGrid w:val="0"/>
              <w:ind w:firstLine="482" w:firstLineChars="200"/>
              <w:rPr>
                <w:rFonts w:eastAsia="宋体"/>
                <w:b/>
                <w:sz w:val="24"/>
                <w:szCs w:val="24"/>
              </w:rPr>
            </w:pPr>
            <w:r>
              <w:rPr>
                <w:rFonts w:eastAsia="宋体"/>
                <w:b/>
                <w:sz w:val="24"/>
                <w:szCs w:val="24"/>
              </w:rPr>
              <w:t>1、工艺流程及产污环节图：</w:t>
            </w:r>
          </w:p>
          <w:p>
            <w:pPr>
              <w:snapToGrid w:val="0"/>
              <w:ind w:firstLine="480" w:firstLineChars="200"/>
              <w:rPr>
                <w:rFonts w:eastAsia="宋体"/>
                <w:sz w:val="24"/>
                <w:szCs w:val="24"/>
              </w:rPr>
            </w:pPr>
            <w:r>
              <w:rPr>
                <w:rFonts w:hint="eastAsia" w:eastAsia="宋体"/>
                <w:sz w:val="24"/>
                <w:szCs w:val="24"/>
              </w:rPr>
              <w:t>本项目主要从事成品汽油、柴油的零售。项目的工艺流程及产排污环节见下图。</w:t>
            </w:r>
          </w:p>
          <w:p>
            <w:pPr>
              <w:spacing w:line="480" w:lineRule="auto"/>
              <w:jc w:val="center"/>
              <w:rPr>
                <w:rFonts w:eastAsia="宋体"/>
                <w:sz w:val="24"/>
                <w:szCs w:val="24"/>
              </w:rPr>
            </w:pPr>
            <w:r>
              <w:rPr>
                <w:rFonts w:eastAsia="宋体"/>
                <w:sz w:val="24"/>
                <w:szCs w:val="24"/>
              </w:rPr>
              <w:pict>
                <v:group id="画布 772" o:spid="_x0000_s1061" o:spt="203" style="height:159pt;width:455.2pt;" coordorigin="1283,4958" coordsize="9104,3180" editas="canvas">
                  <o:lock v:ext="edit"/>
                  <v:shape id="画布 772" o:spid="_x0000_s1062" o:spt="75" type="#_x0000_t75" style="position:absolute;left:1283;top:4958;height:3180;width:9104;" filled="f" o:preferrelative="f" stroked="f" coordsize="21600,21600">
                    <v:path/>
                    <v:fill on="f" focussize="0,0"/>
                    <v:stroke on="f" joinstyle="miter"/>
                    <v:imagedata o:title=""/>
                    <o:lock v:ext="edit" rotation="t" text="t" aspectratio="t"/>
                  </v:shape>
                  <v:line id="直线 775" o:spid="_x0000_s1063" o:spt="20" style="position:absolute;left:2053;top:5630;flip:y;height:625;width:1;" coordsize="21600,21600">
                    <v:path arrowok="t"/>
                    <v:fill focussize="0,0"/>
                    <v:stroke dashstyle="dash" endarrow="block"/>
                    <v:imagedata o:title=""/>
                    <o:lock v:ext="edit"/>
                  </v:line>
                  <v:rect id="矩形 776" o:spid="_x0000_s1064" o:spt="1" style="position:absolute;left:3418;top:5273;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line id="直线 780" o:spid="_x0000_s1065" o:spt="20" style="position:absolute;left:2683;top:6533;height:1;width:720;" coordsize="21600,21600">
                    <v:path arrowok="t"/>
                    <v:fill focussize="0,0"/>
                    <v:stroke endarrow="block"/>
                    <v:imagedata o:title=""/>
                    <o:lock v:ext="edit"/>
                  </v:line>
                  <v:line id="直线 784" o:spid="_x0000_s1066" o:spt="20" style="position:absolute;left:3523;top:6785;flip:y;height:624;width:1;" coordsize="21600,21600">
                    <v:path arrowok="t"/>
                    <v:fill focussize="0,0"/>
                    <v:stroke dashstyle="dash" endarrow="block"/>
                    <v:imagedata o:title=""/>
                    <o:lock v:ext="edit"/>
                  </v:line>
                  <v:line id="直线 786" o:spid="_x0000_s1067" o:spt="20" style="position:absolute;left:4678;top:6548;height:1;width:720;" coordsize="21600,21600">
                    <v:path arrowok="t"/>
                    <v:fill focussize="0,0"/>
                    <v:stroke endarrow="block"/>
                    <v:imagedata o:title=""/>
                    <o:lock v:ext="edit"/>
                  </v:line>
                  <v:line id="直线 788" o:spid="_x0000_s1068" o:spt="20" style="position:absolute;left:8352;top:5672;flip:y;height:626;width:1;" coordsize="21600,21600">
                    <v:path arrowok="t"/>
                    <v:fill focussize="0,0"/>
                    <v:stroke dashstyle="dash" endarrow="block"/>
                    <v:imagedata o:title=""/>
                    <o:lock v:ext="edit"/>
                  </v:line>
                  <v:line id="直线 790" o:spid="_x0000_s1069" o:spt="20" style="position:absolute;left:6883;top:6554;height:1;width:720;" coordsize="21600,21600">
                    <v:path arrowok="t"/>
                    <v:fill focussize="0,0"/>
                    <v:stroke endarrow="block"/>
                    <v:imagedata o:title=""/>
                    <o:lock v:ext="edit"/>
                  </v:line>
                  <v:line id="直线 792" o:spid="_x0000_s1070" o:spt="20" style="position:absolute;left:4468;top:6791;flip:y;height:625;width:1;" coordsize="21600,21600">
                    <v:path arrowok="t"/>
                    <v:fill focussize="0,0"/>
                    <v:stroke dashstyle="dash" endarrow="block"/>
                    <v:imagedata o:title=""/>
                    <o:lock v:ext="edit"/>
                  </v:line>
                  <v:line id="直线 784" o:spid="_x0000_s1071" o:spt="20" style="position:absolute;left:2053;top:6776;flip:y;height:624;width:1;" coordsize="21600,21600">
                    <v:path arrowok="t"/>
                    <v:fill focussize="0,0"/>
                    <v:stroke dashstyle="dash" endarrow="block"/>
                    <v:imagedata o:title=""/>
                    <o:lock v:ext="edit"/>
                  </v:line>
                  <v:rect id="矩形 777" o:spid="_x0000_s1072" o:spt="1" style="position:absolute;left:1528;top:6272;height:490;width:1155;" coordsize="21600,21600">
                    <v:path/>
                    <v:fill focussize="0,0"/>
                    <v:stroke/>
                    <v:imagedata o:title=""/>
                    <o:lock v:ext="edit"/>
                    <v:textbox>
                      <w:txbxContent>
                        <w:p>
                          <w:r>
                            <w:rPr>
                              <w:rFonts w:hint="eastAsia" w:ascii="宋体" w:hAnsi="宋体" w:eastAsia="宋体"/>
                              <w:sz w:val="21"/>
                              <w:szCs w:val="21"/>
                            </w:rPr>
                            <w:t>油品运输</w:t>
                          </w:r>
                        </w:p>
                      </w:txbxContent>
                    </v:textbox>
                  </v:rect>
                  <v:rect id="矩形 789" o:spid="_x0000_s1073" o:spt="1" style="position:absolute;left:1633;top:5192;height:468;width:945;" filled="f" stroked="f" coordsize="21600,21600">
                    <v:path/>
                    <v:fill on="f" focussize="0,0"/>
                    <v:stroke on="f"/>
                    <v:imagedata o:title=""/>
                    <o:lock v:ext="edit"/>
                    <v:textbox>
                      <w:txbxContent>
                        <w:p>
                          <w:pPr>
                            <w:rPr>
                              <w:rFonts w:eastAsia="宋体"/>
                              <w:sz w:val="21"/>
                              <w:szCs w:val="21"/>
                            </w:rPr>
                          </w:pPr>
                          <w:r>
                            <w:rPr>
                              <w:rFonts w:hint="eastAsia" w:eastAsia="宋体"/>
                              <w:sz w:val="21"/>
                              <w:szCs w:val="21"/>
                            </w:rPr>
                            <w:t>噪 声</w:t>
                          </w:r>
                        </w:p>
                      </w:txbxContent>
                    </v:textbox>
                  </v:rect>
                  <v:line id="直线 775" o:spid="_x0000_s1074" o:spt="20" style="position:absolute;left:3943;top:5687;flip:y;height:625;width:1;" coordsize="21600,21600">
                    <v:path arrowok="t"/>
                    <v:fill focussize="0,0"/>
                    <v:stroke dashstyle="dash" endarrow="block"/>
                    <v:imagedata o:title=""/>
                    <o:lock v:ext="edit"/>
                  </v:line>
                  <v:line id="直线 784" o:spid="_x0000_s1075" o:spt="20" style="position:absolute;left:6568;top:6800;flip:y;height:624;width:1;" coordsize="21600,21600">
                    <v:path arrowok="t"/>
                    <v:fill focussize="0,0"/>
                    <v:stroke dashstyle="dash" endarrow="block"/>
                    <v:imagedata o:title=""/>
                    <o:lock v:ext="edit"/>
                  </v:line>
                  <v:line id="直线 784" o:spid="_x0000_s1076" o:spt="20" style="position:absolute;left:5623;top:6797;flip:y;height:624;width:1;" coordsize="21600,21600">
                    <v:path arrowok="t"/>
                    <v:fill focussize="0,0"/>
                    <v:stroke dashstyle="dash" endarrow="block"/>
                    <v:imagedata o:title=""/>
                    <o:lock v:ext="edit"/>
                  </v:line>
                  <v:line id="直线 784" o:spid="_x0000_s1077" o:spt="20" style="position:absolute;left:6148;top:5675;flip:y;height:624;width:1;" coordsize="21600,21600">
                    <v:path arrowok="t"/>
                    <v:fill focussize="0,0"/>
                    <v:stroke dashstyle="dash" endarrow="block"/>
                    <v:imagedata o:title=""/>
                    <o:lock v:ext="edit"/>
                  </v:line>
                  <v:line id="直线 788" o:spid="_x0000_s1078" o:spt="20" style="position:absolute;left:9402;top:5702;flip:y;height:626;width:1;" coordsize="21600,21600">
                    <v:path arrowok="t"/>
                    <v:fill focussize="0,0"/>
                    <v:stroke dashstyle="dash" endarrow="block"/>
                    <v:imagedata o:title=""/>
                    <o:lock v:ext="edit"/>
                  </v:line>
                  <v:line id="直线 784" o:spid="_x0000_s1079" o:spt="20" style="position:absolute;left:9717;top:6821;flip:y;height:624;width:1;" coordsize="21600,21600">
                    <v:path arrowok="t"/>
                    <v:fill focussize="0,0"/>
                    <v:stroke dashstyle="dash" endarrow="block"/>
                    <v:imagedata o:title=""/>
                    <o:lock v:ext="edit"/>
                  </v:line>
                  <v:line id="直线 784" o:spid="_x0000_s1080" o:spt="20" style="position:absolute;left:8458;top:6812;flip:y;height:624;width:1;" coordsize="21600,21600">
                    <v:path arrowok="t"/>
                    <v:fill focussize="0,0"/>
                    <v:stroke dashstyle="dash" endarrow="block"/>
                    <v:imagedata o:title=""/>
                    <o:lock v:ext="edit"/>
                  </v:line>
                  <v:line id="直线 784" o:spid="_x0000_s1081" o:spt="20" style="position:absolute;left:7723;top:6815;flip:y;height:624;width:1;" coordsize="21600,21600">
                    <v:path arrowok="t"/>
                    <v:fill focussize="0,0"/>
                    <v:stroke dashstyle="dash" endarrow="block"/>
                    <v:imagedata o:title=""/>
                    <o:lock v:ext="edit"/>
                  </v:line>
                  <v:rect id="矩形 776" o:spid="_x0000_s1082" o:spt="1" style="position:absolute;left:5700;top:5261;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rect id="矩形 776" o:spid="_x0000_s1083" o:spt="1" style="position:absolute;left:8983;top:5261;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rect id="矩形 789" o:spid="_x0000_s1084" o:spt="1" style="position:absolute;left:7853;top:5219;height:468;width:945;" filled="f" stroked="f" coordsize="21600,21600">
                    <v:path/>
                    <v:fill on="f" focussize="0,0"/>
                    <v:stroke on="f"/>
                    <v:imagedata o:title=""/>
                    <o:lock v:ext="edit"/>
                    <v:textbox>
                      <w:txbxContent>
                        <w:p>
                          <w:pPr>
                            <w:rPr>
                              <w:rFonts w:eastAsia="宋体"/>
                              <w:sz w:val="21"/>
                              <w:szCs w:val="21"/>
                            </w:rPr>
                          </w:pPr>
                          <w:r>
                            <w:rPr>
                              <w:rFonts w:hint="eastAsia" w:eastAsia="宋体"/>
                              <w:sz w:val="21"/>
                              <w:szCs w:val="21"/>
                            </w:rPr>
                            <w:t>噪 声</w:t>
                          </w:r>
                        </w:p>
                      </w:txbxContent>
                    </v:textbox>
                  </v:rect>
                  <v:rect id="矩形 777" o:spid="_x0000_s1085" o:spt="1" style="position:absolute;left:5299;top:7445;height:490;width:729;" coordsize="21600,21600">
                    <v:path/>
                    <v:fill focussize="0,0"/>
                    <v:stroke/>
                    <v:imagedata o:title=""/>
                    <o:lock v:ext="edit"/>
                    <v:textbox>
                      <w:txbxContent>
                        <w:p>
                          <w:r>
                            <w:rPr>
                              <w:rFonts w:hint="eastAsia" w:ascii="宋体" w:hAnsi="宋体" w:eastAsia="宋体"/>
                              <w:sz w:val="21"/>
                              <w:szCs w:val="21"/>
                            </w:rPr>
                            <w:t>油槽</w:t>
                          </w:r>
                        </w:p>
                      </w:txbxContent>
                    </v:textbox>
                  </v:rect>
                  <v:rect id="矩形 777" o:spid="_x0000_s1086" o:spt="1" style="position:absolute;left:6235;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87" o:spt="1" style="position:absolute;left:7222;top:7427;height:490;width:776;"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88" o:spt="1" style="position:absolute;left:8095;top:7445;height:490;width:953;" coordsize="21600,21600">
                    <v:path/>
                    <v:fill focussize="0,0"/>
                    <v:stroke/>
                    <v:imagedata o:title=""/>
                    <o:lock v:ext="edit"/>
                    <v:textbox>
                      <w:txbxContent>
                        <w:p>
                          <w:r>
                            <w:rPr>
                              <w:rFonts w:hint="eastAsia" w:ascii="宋体" w:hAnsi="宋体" w:eastAsia="宋体"/>
                              <w:sz w:val="21"/>
                              <w:szCs w:val="21"/>
                            </w:rPr>
                            <w:t>加油机</w:t>
                          </w:r>
                        </w:p>
                      </w:txbxContent>
                    </v:textbox>
                  </v:rect>
                  <v:rect id="矩形 777" o:spid="_x0000_s1089" o:spt="1" style="position:absolute;left:9122;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1090" o:spt="1" style="position:absolute;left:7603;top:6331;height:490;width:2445;" coordsize="21600,21600">
                    <v:path/>
                    <v:fill focussize="0,0"/>
                    <v:stroke/>
                    <v:imagedata o:title=""/>
                    <o:lock v:ext="edit"/>
                    <v:textbox>
                      <w:txbxContent>
                        <w:p>
                          <w:pPr>
                            <w:jc w:val="center"/>
                          </w:pPr>
                          <w:r>
                            <w:rPr>
                              <w:rFonts w:hint="eastAsia" w:ascii="宋体" w:hAnsi="宋体" w:eastAsia="宋体"/>
                              <w:sz w:val="21"/>
                              <w:szCs w:val="21"/>
                            </w:rPr>
                            <w:t>加油</w:t>
                          </w:r>
                        </w:p>
                      </w:txbxContent>
                    </v:textbox>
                  </v:rect>
                  <v:rect id="矩形 777" o:spid="_x0000_s1091" o:spt="1" style="position:absolute;left:5398;top:6322;height:490;width:1485;" coordsize="21600,21600">
                    <v:path/>
                    <v:fill focussize="0,0"/>
                    <v:stroke/>
                    <v:imagedata o:title=""/>
                    <o:lock v:ext="edit"/>
                    <v:textbox>
                      <w:txbxContent>
                        <w:p>
                          <w:pPr>
                            <w:jc w:val="center"/>
                          </w:pPr>
                          <w:r>
                            <w:rPr>
                              <w:rFonts w:hint="eastAsia" w:ascii="宋体" w:hAnsi="宋体" w:eastAsia="宋体"/>
                              <w:sz w:val="21"/>
                              <w:szCs w:val="21"/>
                            </w:rPr>
                            <w:t>存储</w:t>
                          </w:r>
                        </w:p>
                      </w:txbxContent>
                    </v:textbox>
                  </v:rect>
                  <v:rect id="矩形 777" o:spid="_x0000_s1092" o:spt="1" style="position:absolute;left:3418;top:6272;height:490;width:1260;" coordsize="21600,21600">
                    <v:path/>
                    <v:fill focussize="0,0"/>
                    <v:stroke/>
                    <v:imagedata o:title=""/>
                    <o:lock v:ext="edit"/>
                    <v:textbox>
                      <w:txbxContent>
                        <w:p>
                          <w:pPr>
                            <w:jc w:val="center"/>
                          </w:pPr>
                          <w:r>
                            <w:rPr>
                              <w:rFonts w:hint="eastAsia" w:ascii="宋体" w:hAnsi="宋体" w:eastAsia="宋体"/>
                              <w:sz w:val="21"/>
                              <w:szCs w:val="21"/>
                            </w:rPr>
                            <w:t>卸油</w:t>
                          </w:r>
                        </w:p>
                      </w:txbxContent>
                    </v:textbox>
                  </v:rect>
                  <v:rect id="矩形 777" o:spid="_x0000_s1093" o:spt="1" style="position:absolute;left:3943;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1094" o:spt="1" style="position:absolute;left:3069;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95" o:spt="1" style="position:absolute;left:1528;top:7400;height:490;width:971;" coordsize="21600,21600">
                    <v:path/>
                    <v:fill focussize="0,0"/>
                    <v:stroke/>
                    <v:imagedata o:title=""/>
                    <o:lock v:ext="edit"/>
                    <v:textbox>
                      <w:txbxContent>
                        <w:p>
                          <w:r>
                            <w:rPr>
                              <w:rFonts w:hint="eastAsia" w:ascii="宋体" w:hAnsi="宋体" w:eastAsia="宋体"/>
                              <w:sz w:val="21"/>
                              <w:szCs w:val="21"/>
                            </w:rPr>
                            <w:t>油槽车</w:t>
                          </w:r>
                        </w:p>
                      </w:txbxContent>
                    </v:textbox>
                  </v:rect>
                  <w10:wrap type="none"/>
                  <w10:anchorlock/>
                </v:group>
              </w:pict>
            </w:r>
          </w:p>
          <w:p>
            <w:pPr>
              <w:tabs>
                <w:tab w:val="left" w:pos="360"/>
              </w:tabs>
              <w:snapToGrid w:val="0"/>
              <w:ind w:firstLine="463" w:firstLineChars="192"/>
              <w:jc w:val="center"/>
              <w:rPr>
                <w:rFonts w:eastAsia="宋体"/>
                <w:b/>
                <w:sz w:val="24"/>
                <w:szCs w:val="24"/>
              </w:rPr>
            </w:pPr>
            <w:r>
              <w:rPr>
                <w:rFonts w:eastAsia="宋体"/>
                <w:b/>
                <w:sz w:val="24"/>
                <w:szCs w:val="24"/>
              </w:rPr>
              <w:t>图5-1  加油站汽、柴油加油工艺流程及产污环节图</w:t>
            </w:r>
          </w:p>
          <w:p>
            <w:pPr>
              <w:ind w:firstLine="482" w:firstLineChars="200"/>
              <w:rPr>
                <w:rFonts w:eastAsia="宋体"/>
                <w:b/>
                <w:sz w:val="24"/>
                <w:szCs w:val="24"/>
              </w:rPr>
            </w:pPr>
            <w:r>
              <w:rPr>
                <w:rFonts w:eastAsia="宋体"/>
                <w:b/>
                <w:sz w:val="24"/>
                <w:szCs w:val="24"/>
              </w:rPr>
              <w:t>2、项目工艺流程简述：</w:t>
            </w:r>
          </w:p>
          <w:p>
            <w:pPr>
              <w:ind w:firstLine="480" w:firstLineChars="200"/>
              <w:rPr>
                <w:rFonts w:eastAsia="宋体"/>
                <w:sz w:val="24"/>
                <w:szCs w:val="24"/>
              </w:rPr>
            </w:pPr>
            <w:r>
              <w:rPr>
                <w:rFonts w:eastAsia="宋体"/>
                <w:sz w:val="24"/>
                <w:szCs w:val="24"/>
              </w:rPr>
              <w:t>（1）油品运输：油品均采用</w:t>
            </w:r>
            <w:r>
              <w:rPr>
                <w:rFonts w:hint="eastAsia" w:eastAsia="宋体"/>
                <w:sz w:val="24"/>
                <w:szCs w:val="24"/>
              </w:rPr>
              <w:t>油罐车</w:t>
            </w:r>
            <w:r>
              <w:rPr>
                <w:rFonts w:eastAsia="宋体"/>
                <w:sz w:val="24"/>
                <w:szCs w:val="24"/>
              </w:rPr>
              <w:t>运送至本站。油槽车均带有卸油口及油气回收接口。此工序会产生噪声。</w:t>
            </w:r>
          </w:p>
          <w:p>
            <w:pPr>
              <w:ind w:firstLine="480" w:firstLineChars="200"/>
              <w:rPr>
                <w:rFonts w:eastAsia="宋体"/>
                <w:sz w:val="24"/>
                <w:szCs w:val="24"/>
              </w:rPr>
            </w:pPr>
            <w:r>
              <w:rPr>
                <w:rFonts w:eastAsia="宋体"/>
                <w:sz w:val="24"/>
                <w:szCs w:val="24"/>
              </w:rPr>
              <w:t>（2）卸油：本项目采用自流密闭卸油方式卸油</w:t>
            </w:r>
            <w:r>
              <w:rPr>
                <w:rFonts w:hint="eastAsia" w:eastAsia="宋体"/>
                <w:sz w:val="24"/>
                <w:szCs w:val="24"/>
              </w:rPr>
              <w:t>，配套卸油油气回收系统</w:t>
            </w:r>
            <w:r>
              <w:rPr>
                <w:rFonts w:eastAsia="宋体"/>
                <w:sz w:val="24"/>
                <w:szCs w:val="24"/>
              </w:rPr>
              <w:t>。油槽车与卸油接口、蒸汽回收管口与油槽车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此工序会产生废气。</w:t>
            </w:r>
          </w:p>
          <w:p>
            <w:pPr>
              <w:ind w:firstLine="480" w:firstLineChars="200"/>
              <w:rPr>
                <w:rFonts w:eastAsia="宋体"/>
                <w:sz w:val="24"/>
                <w:szCs w:val="24"/>
              </w:rPr>
            </w:pPr>
            <w:r>
              <w:rPr>
                <w:rFonts w:eastAsia="宋体"/>
                <w:sz w:val="24"/>
                <w:szCs w:val="24"/>
              </w:rPr>
              <w:t>（3）存储：本项目设置</w:t>
            </w:r>
            <w:r>
              <w:rPr>
                <w:rFonts w:hint="eastAsia" w:eastAsia="宋体"/>
                <w:sz w:val="24"/>
                <w:szCs w:val="24"/>
              </w:rPr>
              <w:t>5</w:t>
            </w:r>
            <w:r>
              <w:rPr>
                <w:rFonts w:eastAsia="宋体"/>
                <w:sz w:val="24"/>
                <w:szCs w:val="24"/>
              </w:rPr>
              <w:t>座埋地油罐。每具油罐均设有液位计，用于预防溢油事故，并安装卸油油气回收装置，有效保障加油站的安全性。本项目</w:t>
            </w:r>
            <w:r>
              <w:rPr>
                <w:rFonts w:hint="eastAsia" w:eastAsia="宋体"/>
                <w:sz w:val="24"/>
                <w:szCs w:val="24"/>
              </w:rPr>
              <w:t>5</w:t>
            </w:r>
            <w:r>
              <w:rPr>
                <w:rFonts w:eastAsia="宋体"/>
                <w:sz w:val="24"/>
                <w:szCs w:val="24"/>
              </w:rPr>
              <w:t>座油罐全部埋设在油罐池内。</w:t>
            </w:r>
            <w:r>
              <w:rPr>
                <w:rFonts w:hint="eastAsia" w:eastAsia="宋体"/>
                <w:sz w:val="24"/>
                <w:szCs w:val="24"/>
              </w:rPr>
              <w:t>存储过程</w:t>
            </w:r>
            <w:r>
              <w:rPr>
                <w:rFonts w:eastAsia="宋体"/>
                <w:sz w:val="24"/>
                <w:szCs w:val="24"/>
              </w:rPr>
              <w:t>会产生</w:t>
            </w:r>
            <w:r>
              <w:rPr>
                <w:rFonts w:hint="eastAsia" w:eastAsia="宋体"/>
                <w:sz w:val="24"/>
                <w:szCs w:val="24"/>
              </w:rPr>
              <w:t>大小呼吸</w:t>
            </w:r>
            <w:r>
              <w:rPr>
                <w:rFonts w:eastAsia="宋体"/>
                <w:sz w:val="24"/>
                <w:szCs w:val="24"/>
              </w:rPr>
              <w:t>废气。</w:t>
            </w:r>
          </w:p>
          <w:p>
            <w:pPr>
              <w:ind w:firstLine="480" w:firstLineChars="200"/>
              <w:rPr>
                <w:rFonts w:eastAsia="宋体"/>
                <w:sz w:val="24"/>
                <w:szCs w:val="24"/>
              </w:rPr>
            </w:pPr>
            <w:r>
              <w:rPr>
                <w:rFonts w:eastAsia="宋体"/>
                <w:sz w:val="24"/>
                <w:szCs w:val="24"/>
              </w:rPr>
              <w:t>（4）加油：加油机为自动税控计量加油，加油枪为油气回收型加油枪。员工根据顾客需要的品种和数量在加油机上预置，确认油品无误后提枪加油，完毕后收枪复位。此工序会产生噪声和废气。</w:t>
            </w:r>
          </w:p>
          <w:p>
            <w:pPr>
              <w:ind w:firstLine="480" w:firstLineChars="200"/>
              <w:rPr>
                <w:rFonts w:eastAsia="宋体"/>
                <w:szCs w:val="28"/>
              </w:rPr>
            </w:pPr>
            <w:r>
              <w:rPr>
                <w:rFonts w:hint="eastAsia" w:eastAsia="宋体"/>
                <w:sz w:val="24"/>
                <w:szCs w:val="24"/>
              </w:rPr>
              <w:t>项目配套建设有油气回收系统，包含二次油气回收阶段，详见源强分析章节。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5" w:hRule="atLeast"/>
          <w:jc w:val="center"/>
        </w:trPr>
        <w:tc>
          <w:tcPr>
            <w:tcW w:w="9287" w:type="dxa"/>
            <w:tcBorders>
              <w:bottom w:val="single" w:color="auto" w:sz="4" w:space="0"/>
            </w:tcBorders>
          </w:tcPr>
          <w:p>
            <w:pPr>
              <w:rPr>
                <w:rFonts w:eastAsia="宋体"/>
                <w:b/>
                <w:sz w:val="24"/>
                <w:szCs w:val="24"/>
              </w:rPr>
            </w:pPr>
            <w:r>
              <w:rPr>
                <w:rFonts w:hint="eastAsia" w:eastAsia="宋体"/>
                <w:b/>
                <w:sz w:val="24"/>
                <w:szCs w:val="24"/>
              </w:rPr>
              <w:t>二、</w:t>
            </w:r>
            <w:r>
              <w:rPr>
                <w:rFonts w:eastAsia="宋体"/>
                <w:b/>
                <w:sz w:val="24"/>
                <w:szCs w:val="24"/>
              </w:rPr>
              <w:t>污染物源强分析：</w:t>
            </w:r>
          </w:p>
          <w:p>
            <w:pPr>
              <w:tabs>
                <w:tab w:val="left" w:pos="360"/>
              </w:tabs>
              <w:snapToGrid w:val="0"/>
              <w:ind w:firstLine="480" w:firstLineChars="200"/>
              <w:rPr>
                <w:rFonts w:eastAsia="宋体"/>
                <w:sz w:val="24"/>
                <w:szCs w:val="24"/>
              </w:rPr>
            </w:pPr>
            <w:r>
              <w:rPr>
                <w:rFonts w:eastAsia="宋体"/>
                <w:sz w:val="24"/>
                <w:szCs w:val="24"/>
              </w:rPr>
              <w:t>本项目</w:t>
            </w:r>
            <w:r>
              <w:rPr>
                <w:rFonts w:hint="eastAsia" w:eastAsia="宋体"/>
                <w:sz w:val="24"/>
                <w:szCs w:val="24"/>
              </w:rPr>
              <w:t>已建成，无施工期污染，本项目只分析营运期污染。</w:t>
            </w:r>
          </w:p>
          <w:p>
            <w:pPr>
              <w:tabs>
                <w:tab w:val="left" w:pos="360"/>
              </w:tabs>
              <w:snapToGrid w:val="0"/>
              <w:ind w:firstLine="482" w:firstLineChars="200"/>
              <w:rPr>
                <w:rFonts w:eastAsia="宋体"/>
                <w:b/>
                <w:sz w:val="24"/>
                <w:szCs w:val="24"/>
              </w:rPr>
            </w:pPr>
            <w:r>
              <w:rPr>
                <w:rFonts w:eastAsia="宋体"/>
                <w:b/>
                <w:sz w:val="24"/>
                <w:szCs w:val="24"/>
              </w:rPr>
              <w:t>1、大气污染物</w:t>
            </w:r>
          </w:p>
          <w:p>
            <w:pPr>
              <w:adjustRightInd w:val="0"/>
              <w:snapToGrid w:val="0"/>
              <w:ind w:firstLine="480" w:firstLineChars="200"/>
              <w:rPr>
                <w:rFonts w:eastAsia="宋体"/>
                <w:sz w:val="24"/>
                <w:szCs w:val="24"/>
              </w:rPr>
            </w:pPr>
            <w:r>
              <w:rPr>
                <w:rFonts w:hint="eastAsia" w:eastAsia="宋体"/>
                <w:sz w:val="24"/>
                <w:szCs w:val="24"/>
              </w:rPr>
              <w:t>（一）有机废气</w:t>
            </w:r>
          </w:p>
          <w:p>
            <w:pPr>
              <w:tabs>
                <w:tab w:val="left" w:pos="360"/>
              </w:tabs>
              <w:snapToGrid w:val="0"/>
              <w:ind w:firstLine="480" w:firstLineChars="200"/>
              <w:rPr>
                <w:rFonts w:eastAsia="宋体"/>
                <w:sz w:val="24"/>
                <w:szCs w:val="24"/>
              </w:rPr>
            </w:pPr>
            <w:r>
              <w:rPr>
                <w:rFonts w:eastAsia="宋体"/>
                <w:sz w:val="24"/>
                <w:szCs w:val="24"/>
              </w:rPr>
              <w:t>本项目年销售汽油</w:t>
            </w:r>
            <w:r>
              <w:rPr>
                <w:rFonts w:hint="eastAsia" w:eastAsia="宋体"/>
                <w:sz w:val="24"/>
                <w:szCs w:val="24"/>
              </w:rPr>
              <w:t>3000</w:t>
            </w:r>
            <w:r>
              <w:rPr>
                <w:rFonts w:eastAsia="宋体"/>
                <w:sz w:val="24"/>
                <w:szCs w:val="24"/>
              </w:rPr>
              <w:t>吨、柴油</w:t>
            </w:r>
            <w:r>
              <w:rPr>
                <w:rFonts w:hint="eastAsia" w:eastAsia="宋体"/>
                <w:sz w:val="24"/>
                <w:szCs w:val="24"/>
              </w:rPr>
              <w:t>200</w:t>
            </w:r>
            <w:r>
              <w:rPr>
                <w:rFonts w:eastAsia="宋体"/>
                <w:sz w:val="24"/>
                <w:szCs w:val="24"/>
              </w:rPr>
              <w:t>吨。加油站的整个营运过程中油品均在封闭状态下流动，整个过程应杜绝跑、冒、滴、漏。</w:t>
            </w:r>
            <w:r>
              <w:rPr>
                <w:rFonts w:hint="eastAsia" w:eastAsia="宋体"/>
                <w:sz w:val="24"/>
                <w:szCs w:val="24"/>
              </w:rPr>
              <w:t>本项目加油站的油气回收系统按照《加油加气站设计与施工规范》（GB50156-2012，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）、《加油站大气污染物排放标准》(GB20952-2007)、《油气回收系统工程技术导则(加油站篇)》(Q/22SH 0117.1-2007)等相关标准要求进行设计施工。因构成柴油的长链大分子质量脂肪酸酯的蒸汽压相对较低，挥发性差，因此现阶段油气回收系统仅回收汽油油气。《加油加气站设计与施工规范》（GB50156-2012，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中对卸油油气回收系统、加油油气回收系统进行的术语解释为汽油罐及汽油车辆。本项目营运过程中产生的废气主要为成品油卸油、储油、加油过程产生的油气（以非甲烷总烃表征），具体油气产生源强及回收装置分析如下：</w:t>
            </w:r>
          </w:p>
          <w:p>
            <w:pPr>
              <w:tabs>
                <w:tab w:val="left" w:pos="360"/>
              </w:tabs>
              <w:snapToGrid w:val="0"/>
              <w:ind w:firstLine="480" w:firstLineChars="200"/>
              <w:rPr>
                <w:rFonts w:eastAsia="宋体"/>
                <w:sz w:val="24"/>
                <w:szCs w:val="24"/>
              </w:rPr>
            </w:pPr>
            <w:r>
              <w:rPr>
                <w:rFonts w:hint="eastAsia" w:eastAsia="宋体"/>
                <w:sz w:val="24"/>
                <w:szCs w:val="24"/>
              </w:rPr>
              <w:t>（1）</w:t>
            </w:r>
            <w:r>
              <w:rPr>
                <w:rFonts w:eastAsia="宋体"/>
                <w:sz w:val="24"/>
                <w:szCs w:val="24"/>
              </w:rPr>
              <w:t>工作损失</w:t>
            </w:r>
            <w:r>
              <w:rPr>
                <w:rFonts w:hint="eastAsia" w:ascii="宋体" w:hAnsi="宋体" w:eastAsia="宋体" w:cs="宋体"/>
                <w:sz w:val="24"/>
                <w:szCs w:val="24"/>
              </w:rPr>
              <w:t>Ⅰ</w:t>
            </w:r>
            <w:r>
              <w:rPr>
                <w:rFonts w:eastAsia="宋体"/>
                <w:sz w:val="24"/>
                <w:szCs w:val="24"/>
              </w:rPr>
              <w:t>（G1卸油油气）</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1 \* GB3</w:instrText>
            </w:r>
            <w:r>
              <w:rPr>
                <w:rFonts w:eastAsia="宋体"/>
                <w:sz w:val="24"/>
                <w:szCs w:val="24"/>
              </w:rPr>
              <w:fldChar w:fldCharType="separate"/>
            </w:r>
            <w:r>
              <w:rPr>
                <w:rFonts w:hint="eastAsia" w:eastAsia="宋体"/>
                <w:sz w:val="24"/>
                <w:szCs w:val="24"/>
              </w:rPr>
              <w:t>①</w:t>
            </w:r>
            <w:r>
              <w:rPr>
                <w:rFonts w:eastAsia="宋体"/>
                <w:sz w:val="24"/>
                <w:szCs w:val="24"/>
              </w:rPr>
              <w:fldChar w:fldCharType="end"/>
            </w:r>
            <w:r>
              <w:rPr>
                <w:rFonts w:hint="eastAsia" w:eastAsia="宋体"/>
                <w:sz w:val="24"/>
                <w:szCs w:val="24"/>
              </w:rPr>
              <w:t>废气产生情况描述</w:t>
            </w:r>
          </w:p>
          <w:p>
            <w:pPr>
              <w:tabs>
                <w:tab w:val="left" w:pos="360"/>
              </w:tabs>
              <w:snapToGrid w:val="0"/>
              <w:ind w:firstLine="480" w:firstLineChars="200"/>
              <w:rPr>
                <w:rFonts w:eastAsia="宋体"/>
                <w:sz w:val="24"/>
                <w:szCs w:val="24"/>
              </w:rPr>
            </w:pPr>
            <w:r>
              <w:rPr>
                <w:rFonts w:hint="eastAsia" w:eastAsia="宋体"/>
                <w:sz w:val="24"/>
                <w:szCs w:val="24"/>
              </w:rPr>
              <w:t>储罐的大呼吸主要为油罐进油时，使油罐排出内部油蒸气所导致的损失叫“大呼吸”损失。</w:t>
            </w:r>
          </w:p>
          <w:p>
            <w:pPr>
              <w:tabs>
                <w:tab w:val="left" w:pos="360"/>
              </w:tabs>
              <w:snapToGrid w:val="0"/>
              <w:ind w:firstLine="480" w:firstLineChars="200"/>
              <w:rPr>
                <w:rFonts w:eastAsia="宋体"/>
                <w:sz w:val="24"/>
                <w:szCs w:val="24"/>
              </w:rPr>
            </w:pPr>
            <w:r>
              <w:rPr>
                <w:rFonts w:hint="eastAsia" w:eastAsia="宋体"/>
                <w:sz w:val="24"/>
                <w:szCs w:val="24"/>
              </w:rPr>
              <w:t>油罐车卸油时，由于油车与油罐的液位不断变化，气体的吸入与呼出会对油品造成的一定扰动蒸发，另外随着送油车油罐的液面下降，罐壁蒸发面积扩大，外部的高气温也会对其罐壁和空间造成一定的蒸发。本项目汽油卸油采用油气一级回收系统，以减少无组织排放。</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2 \* GB3</w:instrText>
            </w:r>
            <w:r>
              <w:rPr>
                <w:rFonts w:eastAsia="宋体"/>
                <w:sz w:val="24"/>
                <w:szCs w:val="24"/>
              </w:rPr>
              <w:fldChar w:fldCharType="separate"/>
            </w:r>
            <w:r>
              <w:rPr>
                <w:rFonts w:hint="eastAsia" w:eastAsia="宋体"/>
                <w:sz w:val="24"/>
                <w:szCs w:val="24"/>
              </w:rPr>
              <w:t>②</w:t>
            </w:r>
            <w:r>
              <w:rPr>
                <w:rFonts w:eastAsia="宋体"/>
                <w:sz w:val="24"/>
                <w:szCs w:val="24"/>
              </w:rPr>
              <w:fldChar w:fldCharType="end"/>
            </w:r>
            <w:r>
              <w:rPr>
                <w:rFonts w:hint="eastAsia" w:eastAsia="宋体"/>
                <w:sz w:val="24"/>
                <w:szCs w:val="24"/>
              </w:rPr>
              <w:t>卸油（一次）油气回收系统</w:t>
            </w:r>
          </w:p>
          <w:p>
            <w:pPr>
              <w:tabs>
                <w:tab w:val="left" w:pos="360"/>
              </w:tabs>
              <w:snapToGrid w:val="0"/>
              <w:ind w:firstLine="480" w:firstLineChars="200"/>
              <w:rPr>
                <w:rFonts w:eastAsia="宋体"/>
                <w:sz w:val="24"/>
                <w:szCs w:val="24"/>
              </w:rPr>
            </w:pPr>
            <w:r>
              <w:rPr>
                <w:rFonts w:hint="eastAsia" w:eastAsia="宋体"/>
                <w:sz w:val="24"/>
                <w:szCs w:val="24"/>
              </w:rPr>
              <w:t>卸油时，罐车内的油自流注入到储油罐中，油罐中大量油气会被液态油挤出，此为卸油油气。</w:t>
            </w:r>
          </w:p>
          <w:p>
            <w:pPr>
              <w:tabs>
                <w:tab w:val="left" w:pos="360"/>
              </w:tabs>
              <w:snapToGrid w:val="0"/>
              <w:ind w:firstLine="480" w:firstLineChars="200"/>
              <w:rPr>
                <w:rFonts w:eastAsia="宋体"/>
                <w:sz w:val="24"/>
                <w:szCs w:val="24"/>
              </w:rPr>
            </w:pPr>
            <w:r>
              <w:rPr>
                <w:rFonts w:hint="eastAsia" w:eastAsia="宋体"/>
                <w:sz w:val="24"/>
                <w:szCs w:val="24"/>
              </w:rPr>
              <w:t>卸油油气回收是指在油罐入孔盖上增设一根油气回收管道，引到集中卸油箱内的卸油口处，在油气回收管道口安装截止阀和快速接头。卸油时，卸油软管连接罐车出油口和罐区卸油口，油气回收软管连接罐车油气回收口和卸油口的油气回收管道接口。当罐车内油流入油罐时，油罐内油气通过连通管进入到罐内，再通过油气回收管道流入到罐车内，即用相同体积的汽油将汽油罐内相同体积的油气置换到罐车内，达到油气回收的目的，油罐车将油气带回油库进行处理。</w:t>
            </w:r>
          </w:p>
          <w:p>
            <w:pPr>
              <w:tabs>
                <w:tab w:val="left" w:pos="360"/>
              </w:tabs>
              <w:snapToGrid w:val="0"/>
              <w:ind w:firstLine="480" w:firstLineChars="200"/>
              <w:rPr>
                <w:rFonts w:eastAsia="宋体"/>
                <w:sz w:val="24"/>
                <w:szCs w:val="24"/>
              </w:rPr>
            </w:pPr>
            <w:r>
              <w:rPr>
                <w:rFonts w:hint="eastAsia" w:eastAsia="宋体"/>
                <w:sz w:val="24"/>
                <w:szCs w:val="24"/>
              </w:rPr>
              <w:t>该回收系统将各个油罐通气管进行连通，一根通气管顶部安装压力真空阀，正常工作时使用，该通气管上安装的截止阀常开；另一根通气管顶部安装防爆阻火呼吸阀，检修压力真空阀时使用，该通气管上安装的截止阀常闭。卸油油气回收系统示意图见图5-2，实景图见图5-3。</w:t>
            </w:r>
          </w:p>
          <w:p>
            <w:pPr>
              <w:pStyle w:val="2"/>
              <w:spacing w:line="240" w:lineRule="auto"/>
              <w:ind w:firstLine="280"/>
            </w:pPr>
            <w:r>
              <w:drawing>
                <wp:inline distT="0" distB="0" distL="0" distR="0">
                  <wp:extent cx="5438775" cy="3438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8775" cy="3438525"/>
                          </a:xfrm>
                          <a:prstGeom prst="rect">
                            <a:avLst/>
                          </a:prstGeom>
                        </pic:spPr>
                      </pic:pic>
                    </a:graphicData>
                  </a:graphic>
                </wp:inline>
              </w:drawing>
            </w:r>
          </w:p>
          <w:p>
            <w:pPr>
              <w:pStyle w:val="2"/>
              <w:spacing w:line="240" w:lineRule="auto"/>
              <w:ind w:firstLine="240"/>
              <w:jc w:val="center"/>
              <w:rPr>
                <w:rFonts w:eastAsia="宋体"/>
                <w:sz w:val="24"/>
                <w:szCs w:val="24"/>
              </w:rPr>
            </w:pPr>
            <w:r>
              <w:rPr>
                <w:rFonts w:hint="eastAsia" w:eastAsia="宋体"/>
                <w:sz w:val="24"/>
                <w:szCs w:val="24"/>
              </w:rPr>
              <w:t>图5-2 卸油油气回收系统示意图</w:t>
            </w:r>
          </w:p>
          <w:p>
            <w:pPr>
              <w:tabs>
                <w:tab w:val="left" w:pos="360"/>
              </w:tabs>
              <w:snapToGrid w:val="0"/>
              <w:ind w:firstLine="460" w:firstLineChars="192"/>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考虑到油蒸气的主要成分是VOC , 因此假设油气蒸发量在数值上近似等于VOC 排放量，以非甲烷总烃表征。</w:t>
            </w:r>
          </w:p>
          <w:p>
            <w:pPr>
              <w:tabs>
                <w:tab w:val="left" w:pos="360"/>
              </w:tabs>
              <w:snapToGrid w:val="0"/>
              <w:ind w:firstLine="480" w:firstLineChars="200"/>
              <w:rPr>
                <w:rFonts w:eastAsia="宋体"/>
                <w:sz w:val="24"/>
                <w:szCs w:val="24"/>
              </w:rPr>
            </w:pPr>
            <w:r>
              <w:rPr>
                <w:rFonts w:hint="eastAsia" w:eastAsia="宋体"/>
                <w:sz w:val="24"/>
                <w:szCs w:val="24"/>
              </w:rPr>
              <w:t>本环评采用《石油库节能设计导则》（SH/T3002-2000）中公式来计算本项目大呼吸油气损耗产生量，具体公式如下：</w:t>
            </w:r>
          </w:p>
          <w:p>
            <w:pPr>
              <w:tabs>
                <w:tab w:val="left" w:pos="360"/>
              </w:tabs>
              <w:snapToGrid w:val="0"/>
              <w:ind w:firstLine="537" w:firstLineChars="192"/>
              <w:rPr>
                <w:rFonts w:eastAsia="宋体"/>
                <w:sz w:val="24"/>
                <w:szCs w:val="24"/>
              </w:rPr>
            </w:pPr>
            <w:r>
              <w:drawing>
                <wp:inline distT="0" distB="0" distL="0" distR="0">
                  <wp:extent cx="2914650" cy="6381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2914286" cy="638588"/>
                          </a:xfrm>
                          <a:prstGeom prst="rect">
                            <a:avLst/>
                          </a:prstGeom>
                        </pic:spPr>
                      </pic:pic>
                    </a:graphicData>
                  </a:graphic>
                </wp:inline>
              </w:drawing>
            </w:r>
          </w:p>
          <w:p>
            <w:pPr>
              <w:pStyle w:val="2"/>
              <w:ind w:firstLine="280"/>
            </w:pPr>
            <w:r>
              <w:drawing>
                <wp:inline distT="0" distB="0" distL="0" distR="0">
                  <wp:extent cx="838200" cy="4730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38095" cy="473469"/>
                          </a:xfrm>
                          <a:prstGeom prst="rect">
                            <a:avLst/>
                          </a:prstGeom>
                        </pic:spPr>
                      </pic:pic>
                    </a:graphicData>
                  </a:graphic>
                </wp:inline>
              </w:drawing>
            </w:r>
            <w:r>
              <w:drawing>
                <wp:inline distT="0" distB="0" distL="0" distR="0">
                  <wp:extent cx="4142740" cy="3708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4142857" cy="371429"/>
                          </a:xfrm>
                          <a:prstGeom prst="rect">
                            <a:avLst/>
                          </a:prstGeom>
                        </pic:spPr>
                      </pic:pic>
                    </a:graphicData>
                  </a:graphic>
                </wp:inline>
              </w:drawing>
            </w:r>
          </w:p>
          <w:p>
            <w:pPr>
              <w:pStyle w:val="2"/>
              <w:ind w:firstLine="280"/>
            </w:pPr>
            <w:r>
              <w:drawing>
                <wp:inline distT="0" distB="0" distL="0" distR="0">
                  <wp:extent cx="1942465" cy="63754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942857" cy="638095"/>
                          </a:xfrm>
                          <a:prstGeom prst="rect">
                            <a:avLst/>
                          </a:prstGeom>
                        </pic:spPr>
                      </pic:pic>
                    </a:graphicData>
                  </a:graphic>
                </wp:inline>
              </w:drawing>
            </w:r>
          </w:p>
          <w:p>
            <w:pPr>
              <w:pStyle w:val="2"/>
              <w:spacing w:line="240" w:lineRule="auto"/>
              <w:ind w:firstLine="720" w:firstLineChars="300"/>
              <w:rPr>
                <w:rFonts w:eastAsiaTheme="minorEastAsia"/>
                <w:sz w:val="24"/>
                <w:szCs w:val="24"/>
              </w:rPr>
            </w:pPr>
            <w:r>
              <w:rPr>
                <w:rFonts w:eastAsiaTheme="minorEastAsia"/>
                <w:sz w:val="24"/>
                <w:szCs w:val="24"/>
              </w:rPr>
              <w:t>L</w:t>
            </w:r>
            <w:r>
              <w:rPr>
                <w:rFonts w:eastAsiaTheme="minorEastAsia"/>
                <w:sz w:val="24"/>
                <w:szCs w:val="24"/>
                <w:vertAlign w:val="subscript"/>
              </w:rPr>
              <w:t>DW</w:t>
            </w:r>
            <w:r>
              <w:rPr>
                <w:rFonts w:eastAsiaTheme="minorEastAsia"/>
                <w:sz w:val="24"/>
                <w:szCs w:val="24"/>
              </w:rPr>
              <w:t>—拱顶罐年大呼吸蒸发损耗量（m</w:t>
            </w:r>
            <w:r>
              <w:rPr>
                <w:rFonts w:eastAsiaTheme="minorEastAsia"/>
                <w:sz w:val="24"/>
                <w:szCs w:val="24"/>
                <w:vertAlign w:val="superscript"/>
              </w:rPr>
              <w:t>3</w:t>
            </w:r>
            <w:r>
              <w:rPr>
                <w:rFonts w:eastAsiaTheme="minorEastAsia"/>
                <w:sz w:val="24"/>
                <w:szCs w:val="24"/>
              </w:rPr>
              <w:t>/a）；</w:t>
            </w:r>
          </w:p>
          <w:p>
            <w:pPr>
              <w:pStyle w:val="2"/>
              <w:spacing w:line="240" w:lineRule="auto"/>
              <w:ind w:firstLine="720" w:firstLineChars="300"/>
              <w:rPr>
                <w:rFonts w:eastAsiaTheme="minorEastAsia"/>
                <w:sz w:val="24"/>
                <w:szCs w:val="24"/>
              </w:rPr>
            </w:pPr>
            <w:r>
              <w:rPr>
                <w:rFonts w:eastAsiaTheme="minorEastAsia"/>
                <w:sz w:val="24"/>
                <w:szCs w:val="24"/>
              </w:rPr>
              <w:t>V</w:t>
            </w:r>
            <w:r>
              <w:rPr>
                <w:rFonts w:eastAsiaTheme="minorEastAsia"/>
                <w:sz w:val="24"/>
                <w:szCs w:val="24"/>
                <w:vertAlign w:val="subscript"/>
              </w:rPr>
              <w:t>1</w:t>
            </w:r>
            <w:r>
              <w:rPr>
                <w:rFonts w:eastAsiaTheme="minorEastAsia"/>
                <w:sz w:val="24"/>
                <w:szCs w:val="24"/>
              </w:rPr>
              <w:t>—泵送液体入罐量（m</w:t>
            </w:r>
            <w:r>
              <w:rPr>
                <w:rFonts w:eastAsiaTheme="minorEastAsia"/>
                <w:sz w:val="24"/>
                <w:szCs w:val="24"/>
                <w:vertAlign w:val="superscript"/>
              </w:rPr>
              <w:t>3</w:t>
            </w:r>
            <w:r>
              <w:rPr>
                <w:rFonts w:eastAsiaTheme="minorEastAsia"/>
                <w:sz w:val="24"/>
                <w:szCs w:val="24"/>
              </w:rPr>
              <w:t>）；</w:t>
            </w:r>
          </w:p>
          <w:p>
            <w:pPr>
              <w:pStyle w:val="2"/>
              <w:spacing w:line="240" w:lineRule="auto"/>
              <w:ind w:firstLine="720" w:firstLineChars="300"/>
              <w:rPr>
                <w:rFonts w:eastAsiaTheme="minorEastAsia"/>
                <w:sz w:val="24"/>
                <w:szCs w:val="24"/>
              </w:rPr>
            </w:pPr>
            <w:r>
              <w:rPr>
                <w:rFonts w:eastAsiaTheme="minorEastAsia"/>
                <w:sz w:val="24"/>
                <w:szCs w:val="24"/>
              </w:rPr>
              <w:t>N—油罐年周转次数；</w:t>
            </w:r>
          </w:p>
          <w:p>
            <w:pPr>
              <w:pStyle w:val="2"/>
              <w:spacing w:line="240" w:lineRule="auto"/>
              <w:ind w:firstLine="720" w:firstLineChars="300"/>
              <w:rPr>
                <w:rFonts w:eastAsiaTheme="minorEastAsia"/>
                <w:sz w:val="24"/>
                <w:szCs w:val="24"/>
              </w:rPr>
            </w:pPr>
            <w:r>
              <w:rPr>
                <w:rFonts w:eastAsiaTheme="minorEastAsia"/>
                <w:sz w:val="24"/>
                <w:szCs w:val="24"/>
              </w:rPr>
              <w:t>Q—油罐年周转量（m</w:t>
            </w:r>
            <w:r>
              <w:rPr>
                <w:rFonts w:eastAsiaTheme="minorEastAsia"/>
                <w:sz w:val="24"/>
                <w:szCs w:val="24"/>
                <w:vertAlign w:val="superscript"/>
              </w:rPr>
              <w:t>3</w:t>
            </w:r>
            <w:r>
              <w:rPr>
                <w:rFonts w:eastAsiaTheme="minorEastAsia"/>
                <w:sz w:val="24"/>
                <w:szCs w:val="24"/>
              </w:rPr>
              <w:t>/a）；</w:t>
            </w:r>
          </w:p>
          <w:p>
            <w:pPr>
              <w:pStyle w:val="2"/>
              <w:spacing w:line="240" w:lineRule="auto"/>
              <w:ind w:firstLine="720" w:firstLineChars="300"/>
              <w:rPr>
                <w:rFonts w:eastAsiaTheme="minorEastAsia"/>
                <w:sz w:val="24"/>
                <w:szCs w:val="24"/>
              </w:rPr>
            </w:pPr>
            <w:r>
              <w:rPr>
                <w:rFonts w:eastAsiaTheme="minorEastAsia"/>
                <w:sz w:val="24"/>
                <w:szCs w:val="24"/>
              </w:rPr>
              <w:t>V—油罐容积（m</w:t>
            </w:r>
            <w:r>
              <w:rPr>
                <w:rFonts w:eastAsiaTheme="minorEastAsia"/>
                <w:sz w:val="24"/>
                <w:szCs w:val="24"/>
                <w:vertAlign w:val="superscript"/>
              </w:rPr>
              <w:t>3</w:t>
            </w:r>
            <w:r>
              <w:rPr>
                <w:rFonts w:eastAsiaTheme="minorEastAsia"/>
                <w:sz w:val="24"/>
                <w:szCs w:val="24"/>
              </w:rPr>
              <w:t>）；</w:t>
            </w:r>
          </w:p>
          <w:p>
            <w:pPr>
              <w:pStyle w:val="2"/>
              <w:spacing w:line="240" w:lineRule="auto"/>
              <w:ind w:firstLine="720" w:firstLineChars="300"/>
              <w:rPr>
                <w:rFonts w:eastAsiaTheme="minorEastAsia"/>
                <w:sz w:val="24"/>
                <w:szCs w:val="24"/>
              </w:rPr>
            </w:pPr>
            <w:r>
              <w:rPr>
                <w:rFonts w:eastAsiaTheme="minorEastAsia"/>
                <w:sz w:val="24"/>
                <w:szCs w:val="24"/>
              </w:rPr>
              <w:t>K—单位换算常数；</w:t>
            </w:r>
          </w:p>
          <w:p>
            <w:pPr>
              <w:pStyle w:val="2"/>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T</w:t>
            </w:r>
            <w:r>
              <w:rPr>
                <w:rFonts w:eastAsiaTheme="minorEastAsia"/>
                <w:sz w:val="24"/>
                <w:szCs w:val="24"/>
              </w:rPr>
              <w:t>—周转系数；</w:t>
            </w:r>
          </w:p>
          <w:p>
            <w:pPr>
              <w:pStyle w:val="2"/>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1</w:t>
            </w:r>
            <w:r>
              <w:rPr>
                <w:rFonts w:eastAsiaTheme="minorEastAsia"/>
                <w:sz w:val="24"/>
                <w:szCs w:val="24"/>
              </w:rPr>
              <w:t>—油品系数；</w:t>
            </w:r>
          </w:p>
          <w:p>
            <w:pPr>
              <w:pStyle w:val="2"/>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w:t>
            </w:r>
            <w:r>
              <w:rPr>
                <w:rFonts w:eastAsiaTheme="minorEastAsia"/>
                <w:sz w:val="24"/>
                <w:szCs w:val="24"/>
              </w:rPr>
              <w:t>—油品平均温度下的蒸气压（kPa）；</w:t>
            </w:r>
          </w:p>
          <w:p>
            <w:pPr>
              <w:pStyle w:val="2"/>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y1</w:t>
            </w:r>
            <w:r>
              <w:rPr>
                <w:rFonts w:eastAsiaTheme="minorEastAsia"/>
                <w:sz w:val="24"/>
                <w:szCs w:val="24"/>
              </w:rPr>
              <w:t>—油罐内液面最低温度所对应的蒸气压（kPa）；</w:t>
            </w:r>
          </w:p>
          <w:p>
            <w:pPr>
              <w:pStyle w:val="2"/>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y2</w:t>
            </w:r>
            <w:r>
              <w:rPr>
                <w:rFonts w:eastAsiaTheme="minorEastAsia"/>
                <w:sz w:val="24"/>
                <w:szCs w:val="24"/>
              </w:rPr>
              <w:t>—油罐内液面最高温度所对应的蒸气压（kPa）；</w:t>
            </w:r>
          </w:p>
          <w:p>
            <w:pPr>
              <w:pStyle w:val="2"/>
              <w:spacing w:line="240" w:lineRule="auto"/>
              <w:ind w:firstLine="720" w:firstLineChars="300"/>
              <w:rPr>
                <w:rFonts w:eastAsiaTheme="minorEastAsia"/>
                <w:sz w:val="24"/>
                <w:szCs w:val="24"/>
              </w:rPr>
            </w:pPr>
            <w:r>
              <w:rPr>
                <w:rFonts w:eastAsiaTheme="minorEastAsia"/>
                <w:sz w:val="24"/>
                <w:szCs w:val="24"/>
              </w:rPr>
              <w:t>μ</w:t>
            </w:r>
            <w:r>
              <w:rPr>
                <w:rFonts w:eastAsiaTheme="minorEastAsia"/>
                <w:sz w:val="24"/>
                <w:szCs w:val="24"/>
                <w:vertAlign w:val="subscript"/>
              </w:rPr>
              <w:t>y</w:t>
            </w:r>
            <w:r>
              <w:rPr>
                <w:rFonts w:eastAsiaTheme="minorEastAsia"/>
                <w:sz w:val="24"/>
                <w:szCs w:val="24"/>
              </w:rPr>
              <w:t>—油蒸汽摩尔质量（kg/kmol），68 kg/kmol；</w:t>
            </w:r>
          </w:p>
          <w:p>
            <w:pPr>
              <w:tabs>
                <w:tab w:val="left" w:pos="360"/>
              </w:tabs>
              <w:snapToGrid w:val="0"/>
              <w:ind w:firstLine="460" w:firstLineChars="192"/>
              <w:rPr>
                <w:rFonts w:eastAsia="宋体"/>
                <w:sz w:val="24"/>
                <w:szCs w:val="24"/>
              </w:rPr>
            </w:pPr>
            <w:r>
              <w:rPr>
                <w:rFonts w:hint="eastAsia" w:eastAsia="宋体"/>
                <w:sz w:val="24"/>
                <w:szCs w:val="24"/>
              </w:rPr>
              <w:t>具体参数选取见下表：</w:t>
            </w:r>
          </w:p>
          <w:p>
            <w:pPr>
              <w:snapToGrid w:val="0"/>
              <w:jc w:val="center"/>
              <w:rPr>
                <w:rFonts w:eastAsia="宋体"/>
                <w:b/>
                <w:sz w:val="24"/>
                <w:szCs w:val="24"/>
              </w:rPr>
            </w:pPr>
            <w:r>
              <w:rPr>
                <w:rFonts w:eastAsia="宋体"/>
                <w:b/>
                <w:sz w:val="24"/>
                <w:szCs w:val="24"/>
              </w:rPr>
              <w:t xml:space="preserve">表5-1  </w:t>
            </w:r>
            <w:r>
              <w:rPr>
                <w:rFonts w:hint="eastAsia" w:eastAsia="宋体"/>
                <w:b/>
                <w:sz w:val="24"/>
                <w:szCs w:val="24"/>
              </w:rPr>
              <w:t>“大呼吸”废气计算参数选择</w:t>
            </w:r>
          </w:p>
          <w:tbl>
            <w:tblPr>
              <w:tblStyle w:val="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65"/>
              <w:gridCol w:w="484"/>
              <w:gridCol w:w="820"/>
              <w:gridCol w:w="519"/>
              <w:gridCol w:w="634"/>
              <w:gridCol w:w="1069"/>
              <w:gridCol w:w="861"/>
              <w:gridCol w:w="1037"/>
              <w:gridCol w:w="663"/>
              <w:gridCol w:w="12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hint="eastAsia" w:eastAsia="宋体"/>
                      <w:sz w:val="21"/>
                      <w:szCs w:val="21"/>
                    </w:rPr>
                    <w:t>参数</w:t>
                  </w:r>
                </w:p>
              </w:tc>
              <w:tc>
                <w:tcPr>
                  <w:tcW w:w="965"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T</w:t>
                  </w:r>
                </w:p>
              </w:tc>
              <w:tc>
                <w:tcPr>
                  <w:tcW w:w="48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P</w:t>
                  </w:r>
                  <w:r>
                    <w:rPr>
                      <w:rFonts w:eastAsiaTheme="minorEastAsia"/>
                      <w:sz w:val="24"/>
                      <w:szCs w:val="24"/>
                      <w:vertAlign w:val="subscript"/>
                    </w:rPr>
                    <w:t>y</w:t>
                  </w:r>
                </w:p>
              </w:tc>
              <w:tc>
                <w:tcPr>
                  <w:tcW w:w="51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μ</w:t>
                  </w:r>
                  <w:r>
                    <w:rPr>
                      <w:rFonts w:eastAsiaTheme="minorEastAsia"/>
                      <w:sz w:val="24"/>
                      <w:szCs w:val="24"/>
                      <w:vertAlign w:val="subscript"/>
                    </w:rPr>
                    <w:t>y</w:t>
                  </w:r>
                </w:p>
              </w:tc>
              <w:tc>
                <w:tcPr>
                  <w:tcW w:w="63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p>
              </w:tc>
              <w:tc>
                <w:tcPr>
                  <w:tcW w:w="106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r>
                    <w:rPr>
                      <w:rFonts w:eastAsiaTheme="minorEastAsia"/>
                      <w:sz w:val="24"/>
                      <w:szCs w:val="24"/>
                      <w:vertAlign w:val="subscript"/>
                    </w:rPr>
                    <w:t>1</w:t>
                  </w:r>
                </w:p>
              </w:tc>
              <w:tc>
                <w:tcPr>
                  <w:tcW w:w="861"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N</w:t>
                  </w:r>
                </w:p>
              </w:tc>
              <w:tc>
                <w:tcPr>
                  <w:tcW w:w="1037"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Q</w:t>
                  </w:r>
                </w:p>
              </w:tc>
              <w:tc>
                <w:tcPr>
                  <w:tcW w:w="663"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p>
              </w:tc>
              <w:tc>
                <w:tcPr>
                  <w:tcW w:w="129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L</w:t>
                  </w:r>
                  <w:r>
                    <w:rPr>
                      <w:rFonts w:eastAsiaTheme="minorEastAsia"/>
                      <w:sz w:val="24"/>
                      <w:szCs w:val="24"/>
                      <w:vertAlign w:val="subscript"/>
                    </w:rPr>
                    <w:t>DW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w:t>
                  </w:r>
                </w:p>
              </w:tc>
              <w:tc>
                <w:tcPr>
                  <w:tcW w:w="96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0.347</w:t>
                  </w:r>
                </w:p>
              </w:tc>
              <w:tc>
                <w:tcPr>
                  <w:tcW w:w="48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62.5</w:t>
                  </w:r>
                </w:p>
              </w:tc>
              <w:tc>
                <w:tcPr>
                  <w:tcW w:w="51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6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06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4000</w:t>
                  </w:r>
                </w:p>
              </w:tc>
              <w:tc>
                <w:tcPr>
                  <w:tcW w:w="86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166.7</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4000</w:t>
                  </w:r>
                </w:p>
              </w:tc>
              <w:tc>
                <w:tcPr>
                  <w:tcW w:w="66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p>
              </w:tc>
              <w:tc>
                <w:tcPr>
                  <w:tcW w:w="12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柴油</w:t>
                  </w:r>
                </w:p>
              </w:tc>
              <w:tc>
                <w:tcPr>
                  <w:tcW w:w="96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48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0.0001</w:t>
                  </w:r>
                </w:p>
              </w:tc>
              <w:tc>
                <w:tcPr>
                  <w:tcW w:w="51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6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06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227.3</w:t>
                  </w:r>
                </w:p>
              </w:tc>
              <w:tc>
                <w:tcPr>
                  <w:tcW w:w="86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9.47</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227.3</w:t>
                  </w:r>
                </w:p>
              </w:tc>
              <w:tc>
                <w:tcPr>
                  <w:tcW w:w="66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p>
              </w:tc>
              <w:tc>
                <w:tcPr>
                  <w:tcW w:w="12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1.05×10</w:t>
                  </w:r>
                  <w:r>
                    <w:rPr>
                      <w:rFonts w:hint="eastAsia" w:eastAsia="宋体"/>
                      <w:sz w:val="21"/>
                      <w:szCs w:val="21"/>
                      <w:vertAlign w:val="superscript"/>
                    </w:rPr>
                    <w:t>-6</w:t>
                  </w:r>
                </w:p>
              </w:tc>
            </w:tr>
          </w:tbl>
          <w:p>
            <w:pPr>
              <w:pStyle w:val="2"/>
              <w:snapToGrid w:val="0"/>
              <w:spacing w:after="0" w:line="240" w:lineRule="auto"/>
              <w:ind w:firstLine="630" w:firstLineChars="300"/>
              <w:rPr>
                <w:rFonts w:eastAsiaTheme="minorEastAsia"/>
                <w:sz w:val="21"/>
                <w:szCs w:val="24"/>
              </w:rPr>
            </w:pPr>
            <w:r>
              <w:rPr>
                <w:rFonts w:hint="eastAsia" w:eastAsiaTheme="minorEastAsia"/>
                <w:sz w:val="21"/>
                <w:szCs w:val="24"/>
              </w:rPr>
              <w:t>注：汽油蒸汽压选取依据：本项目汽油为国Ⅵ，根据《车用汽油》（GB17930-2016），车用汽油（国Ⅵ）蒸气压为40~85kPa，本次计算取平均值62.5kPa。</w:t>
            </w:r>
          </w:p>
          <w:p>
            <w:pPr>
              <w:pStyle w:val="2"/>
              <w:snapToGrid w:val="0"/>
              <w:spacing w:after="0" w:line="240" w:lineRule="auto"/>
              <w:ind w:firstLine="630" w:firstLineChars="300"/>
              <w:rPr>
                <w:rFonts w:eastAsiaTheme="minorEastAsia"/>
                <w:sz w:val="21"/>
                <w:szCs w:val="24"/>
              </w:rPr>
            </w:pPr>
            <w:r>
              <w:rPr>
                <w:rFonts w:hint="eastAsia" w:eastAsiaTheme="minorEastAsia"/>
                <w:sz w:val="21"/>
                <w:szCs w:val="24"/>
              </w:rPr>
              <w:t>柴油蒸汽压选取依据：由于构成柴油的长链大分子质量脂肪酸酯的挥发性差，蒸气压相对较低，实验测量精度随之下降，已有研究表明这些低蒸气压数据的一致性较差。根据本地土壤平均温度约17℃，本次计算柴油蒸汽压保守取1*10</w:t>
            </w:r>
            <w:r>
              <w:rPr>
                <w:rFonts w:hint="eastAsia" w:eastAsiaTheme="minorEastAsia"/>
                <w:sz w:val="21"/>
                <w:szCs w:val="24"/>
                <w:vertAlign w:val="superscript"/>
              </w:rPr>
              <w:t>-4</w:t>
            </w:r>
            <w:r>
              <w:rPr>
                <w:rFonts w:hint="eastAsia" w:eastAsiaTheme="minorEastAsia"/>
                <w:sz w:val="21"/>
                <w:szCs w:val="24"/>
              </w:rPr>
              <w:t>kPa（50℃下数据）。</w:t>
            </w:r>
          </w:p>
          <w:p>
            <w:pPr>
              <w:pStyle w:val="2"/>
              <w:snapToGrid w:val="0"/>
              <w:spacing w:after="0"/>
              <w:ind w:firstLine="480" w:firstLineChars="200"/>
              <w:rPr>
                <w:rFonts w:eastAsiaTheme="minorEastAsia"/>
                <w:sz w:val="24"/>
                <w:szCs w:val="24"/>
              </w:rPr>
            </w:pPr>
            <w:r>
              <w:rPr>
                <w:rFonts w:hint="eastAsia" w:eastAsiaTheme="minorEastAsia"/>
                <w:sz w:val="24"/>
                <w:szCs w:val="24"/>
              </w:rPr>
              <w:t>根据以上</w:t>
            </w:r>
            <w:r>
              <w:rPr>
                <w:rFonts w:hint="eastAsia" w:eastAsia="宋体"/>
                <w:sz w:val="24"/>
                <w:szCs w:val="24"/>
              </w:rPr>
              <w:t>计算</w:t>
            </w:r>
            <w:r>
              <w:rPr>
                <w:rFonts w:hint="eastAsia" w:eastAsiaTheme="minorEastAsia"/>
                <w:sz w:val="24"/>
                <w:szCs w:val="24"/>
              </w:rPr>
              <w:t>，本项目汽油大呼吸产生量为4.022m</w:t>
            </w:r>
            <w:r>
              <w:rPr>
                <w:rFonts w:hint="eastAsia" w:eastAsiaTheme="minorEastAsia"/>
                <w:sz w:val="24"/>
                <w:szCs w:val="24"/>
                <w:vertAlign w:val="superscript"/>
              </w:rPr>
              <w:t>3</w:t>
            </w:r>
            <w:r>
              <w:rPr>
                <w:rFonts w:hint="eastAsia" w:eastAsiaTheme="minorEastAsia"/>
                <w:sz w:val="24"/>
                <w:szCs w:val="24"/>
              </w:rPr>
              <w:t>/a（3.017t/a），卸油油气回收系统效率以99.5%计，则排放量为0.015t/a；柴油大呼吸产生量为1.05</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m</w:t>
            </w:r>
            <w:r>
              <w:rPr>
                <w:rFonts w:hint="eastAsia" w:eastAsiaTheme="minorEastAsia"/>
                <w:sz w:val="24"/>
                <w:szCs w:val="24"/>
                <w:vertAlign w:val="superscript"/>
              </w:rPr>
              <w:t>3</w:t>
            </w:r>
            <w:r>
              <w:rPr>
                <w:rFonts w:hint="eastAsia" w:eastAsiaTheme="minorEastAsia"/>
                <w:sz w:val="24"/>
                <w:szCs w:val="24"/>
              </w:rPr>
              <w:t>/a（9.24</w:t>
            </w:r>
            <w:r>
              <w:rPr>
                <w:rFonts w:hint="eastAsia" w:eastAsia="宋体"/>
                <w:sz w:val="24"/>
                <w:szCs w:val="24"/>
              </w:rPr>
              <w:t>×10</w:t>
            </w:r>
            <w:r>
              <w:rPr>
                <w:rFonts w:hint="eastAsia" w:eastAsia="宋体"/>
                <w:sz w:val="24"/>
                <w:szCs w:val="24"/>
                <w:vertAlign w:val="superscript"/>
              </w:rPr>
              <w:t>-7</w:t>
            </w:r>
            <w:r>
              <w:rPr>
                <w:rFonts w:hint="eastAsia" w:eastAsiaTheme="minorEastAsia"/>
                <w:sz w:val="24"/>
                <w:szCs w:val="24"/>
              </w:rPr>
              <w:t>t/a），排放量为9.24</w:t>
            </w:r>
            <w:r>
              <w:rPr>
                <w:rFonts w:hint="eastAsia" w:eastAsia="宋体"/>
                <w:sz w:val="24"/>
                <w:szCs w:val="24"/>
              </w:rPr>
              <w:t>×10</w:t>
            </w:r>
            <w:r>
              <w:rPr>
                <w:rFonts w:hint="eastAsia" w:eastAsia="宋体"/>
                <w:sz w:val="24"/>
                <w:szCs w:val="24"/>
                <w:vertAlign w:val="superscript"/>
              </w:rPr>
              <w:t>-7</w:t>
            </w:r>
            <w:r>
              <w:rPr>
                <w:rFonts w:hint="eastAsia" w:eastAsiaTheme="minorEastAsia"/>
                <w:sz w:val="24"/>
                <w:szCs w:val="24"/>
              </w:rPr>
              <w:t>t/a。</w:t>
            </w:r>
          </w:p>
          <w:p>
            <w:pPr>
              <w:pStyle w:val="2"/>
              <w:snapToGrid w:val="0"/>
              <w:spacing w:after="0"/>
              <w:ind w:firstLine="480" w:firstLineChars="200"/>
              <w:rPr>
                <w:rFonts w:eastAsiaTheme="minorEastAsia"/>
                <w:sz w:val="24"/>
                <w:szCs w:val="24"/>
              </w:rPr>
            </w:pPr>
            <w:r>
              <w:rPr>
                <w:rFonts w:hint="eastAsia" w:eastAsiaTheme="minorEastAsia"/>
                <w:sz w:val="24"/>
                <w:szCs w:val="24"/>
              </w:rPr>
              <w:t>根据企业运营及技术人员经验，项目汽油卸油平均时间约3小时/d，则一年汽油卸油时间为1095h。项目柴油销售量较少，柴油卸油时间约20h/a。</w:t>
            </w:r>
          </w:p>
          <w:p>
            <w:pPr>
              <w:pStyle w:val="2"/>
              <w:snapToGrid w:val="0"/>
              <w:spacing w:after="0"/>
              <w:ind w:firstLine="480" w:firstLineChars="200"/>
              <w:rPr>
                <w:rFonts w:eastAsiaTheme="minorEastAsia"/>
                <w:sz w:val="24"/>
                <w:szCs w:val="24"/>
              </w:rPr>
            </w:pPr>
            <w:r>
              <w:rPr>
                <w:rFonts w:hint="eastAsia" w:eastAsiaTheme="minorEastAsia"/>
                <w:sz w:val="24"/>
                <w:szCs w:val="24"/>
              </w:rPr>
              <w:t>因此，汽油卸油排放速率为0.014kg/h，柴油卸油排放速率为4.62×10</w:t>
            </w:r>
            <w:r>
              <w:rPr>
                <w:rFonts w:hint="eastAsia" w:eastAsiaTheme="minorEastAsia"/>
                <w:sz w:val="24"/>
                <w:szCs w:val="24"/>
                <w:vertAlign w:val="superscript"/>
              </w:rPr>
              <w:t>-5</w:t>
            </w:r>
            <w:r>
              <w:rPr>
                <w:rFonts w:hint="eastAsia" w:eastAsiaTheme="minorEastAsia"/>
                <w:sz w:val="24"/>
                <w:szCs w:val="24"/>
              </w:rPr>
              <w:t>kg/h。将油罐区（含卸油区）至周边围墙面积作为无组织面源，为25*20m，面源高度按作业面高度4.5m计。</w:t>
            </w:r>
          </w:p>
          <w:p>
            <w:pPr>
              <w:pStyle w:val="2"/>
              <w:snapToGrid w:val="0"/>
              <w:spacing w:after="0"/>
              <w:ind w:firstLine="480" w:firstLineChars="200"/>
              <w:rPr>
                <w:rFonts w:eastAsiaTheme="minorEastAsia"/>
                <w:sz w:val="24"/>
                <w:szCs w:val="24"/>
              </w:rPr>
            </w:pPr>
            <w:r>
              <w:rPr>
                <w:rFonts w:hint="eastAsia" w:eastAsiaTheme="minorEastAsia"/>
                <w:sz w:val="24"/>
                <w:szCs w:val="24"/>
              </w:rPr>
              <w:t>（2）静置损失（G2小呼吸废气）</w:t>
            </w:r>
          </w:p>
          <w:p>
            <w:pPr>
              <w:pStyle w:val="2"/>
              <w:snapToGrid w:val="0"/>
              <w:spacing w:after="0"/>
              <w:ind w:firstLine="480" w:firstLineChars="200"/>
              <w:rPr>
                <w:rFonts w:eastAsiaTheme="minorEastAsia"/>
                <w:sz w:val="24"/>
                <w:szCs w:val="24"/>
              </w:rPr>
            </w:pPr>
            <w:r>
              <w:rPr>
                <w:rFonts w:hint="eastAsia" w:eastAsiaTheme="minorEastAsia"/>
                <w:sz w:val="24"/>
                <w:szCs w:val="24"/>
              </w:rPr>
              <w:t>储罐的小呼吸主要为油罐静止时，由于昼夜温差变化导致的损失叫“小呼吸”损失。“小呼吸”：成品油在固定顶罐静止储存的过程中储油罐温度昼夜有规律地变化，白天温度升高，热量使油气膨胀，压力升高，造成油气的挥发。晚间温度降低，罐内气体压力降低，为平衡蒸汽压，油气从液相中蒸发，直止油液面上的气体达到新的饱和蒸汽压，造成油气的挥发。</w:t>
            </w:r>
          </w:p>
          <w:p>
            <w:pPr>
              <w:pStyle w:val="2"/>
              <w:snapToGrid w:val="0"/>
              <w:spacing w:after="0"/>
              <w:ind w:firstLine="480" w:firstLineChars="200"/>
              <w:rPr>
                <w:rFonts w:eastAsiaTheme="minorEastAsia"/>
                <w:sz w:val="24"/>
                <w:szCs w:val="24"/>
              </w:rPr>
            </w:pPr>
            <w:r>
              <w:rPr>
                <w:rFonts w:hint="eastAsia" w:eastAsiaTheme="minorEastAsia"/>
                <w:sz w:val="24"/>
                <w:szCs w:val="24"/>
              </w:rPr>
              <w:t>上述过程昼夜交替进行，形成了称为“小呼吸”的油气排放。</w:t>
            </w:r>
          </w:p>
          <w:p>
            <w:pPr>
              <w:pStyle w:val="2"/>
              <w:snapToGrid w:val="0"/>
              <w:spacing w:after="0"/>
              <w:ind w:firstLine="480" w:firstLineChars="200"/>
              <w:rPr>
                <w:rFonts w:eastAsiaTheme="minorEastAsia"/>
                <w:sz w:val="24"/>
                <w:szCs w:val="24"/>
              </w:rPr>
            </w:pPr>
            <w:r>
              <w:rPr>
                <w:rFonts w:hint="eastAsia" w:eastAsiaTheme="minorEastAsia"/>
                <w:sz w:val="24"/>
                <w:szCs w:val="24"/>
              </w:rPr>
              <w:t>参照《上海市石化行业VOCs计算方法（试行）》附录A中P28，因为地下土层的绝缘作用使得地下储罐的昼夜温差变化较小，并且由于间断的加油工作导致储油罐液体逐渐下降，罐内整体呈负压趋势。因此本环评不考虑地下卧式罐的静置损失（小呼吸废气）。</w:t>
            </w:r>
          </w:p>
          <w:p>
            <w:pPr>
              <w:pStyle w:val="2"/>
              <w:snapToGrid w:val="0"/>
              <w:spacing w:after="0"/>
              <w:ind w:firstLine="480" w:firstLineChars="200"/>
              <w:rPr>
                <w:rFonts w:eastAsiaTheme="minorEastAsia"/>
                <w:sz w:val="24"/>
                <w:szCs w:val="24"/>
              </w:rPr>
            </w:pPr>
            <w:r>
              <w:rPr>
                <w:rFonts w:hint="eastAsia" w:eastAsiaTheme="minorEastAsia"/>
                <w:sz w:val="24"/>
                <w:szCs w:val="24"/>
              </w:rPr>
              <w:t>（3）工作损失Ⅱ（G3加油废气）</w:t>
            </w:r>
          </w:p>
          <w:p>
            <w:pPr>
              <w:pStyle w:val="2"/>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1 \* GB3</w:instrText>
            </w:r>
            <w:r>
              <w:rPr>
                <w:rFonts w:eastAsiaTheme="minorEastAsia"/>
                <w:sz w:val="24"/>
                <w:szCs w:val="24"/>
              </w:rPr>
              <w:fldChar w:fldCharType="separate"/>
            </w:r>
            <w:r>
              <w:rPr>
                <w:rFonts w:hint="eastAsia" w:eastAsiaTheme="minorEastAsia"/>
                <w:sz w:val="24"/>
                <w:szCs w:val="24"/>
              </w:rPr>
              <w:t>①</w:t>
            </w:r>
            <w:r>
              <w:rPr>
                <w:rFonts w:eastAsiaTheme="minorEastAsia"/>
                <w:sz w:val="24"/>
                <w:szCs w:val="24"/>
              </w:rPr>
              <w:fldChar w:fldCharType="end"/>
            </w:r>
            <w:r>
              <w:rPr>
                <w:rFonts w:hint="eastAsia" w:eastAsiaTheme="minorEastAsia"/>
                <w:sz w:val="24"/>
                <w:szCs w:val="24"/>
              </w:rPr>
              <w:t>废气产生情况描述</w:t>
            </w:r>
          </w:p>
          <w:p>
            <w:pPr>
              <w:pStyle w:val="2"/>
              <w:snapToGrid w:val="0"/>
              <w:spacing w:after="0"/>
              <w:ind w:firstLine="480" w:firstLineChars="200"/>
              <w:rPr>
                <w:rFonts w:eastAsiaTheme="minorEastAsia"/>
                <w:sz w:val="24"/>
                <w:szCs w:val="24"/>
              </w:rPr>
            </w:pPr>
            <w:r>
              <w:rPr>
                <w:rFonts w:hint="eastAsia" w:eastAsiaTheme="minorEastAsia"/>
                <w:sz w:val="24"/>
                <w:szCs w:val="24"/>
              </w:rPr>
              <w:t>主要指为车辆加油时，油品进入车辆油箱，油箱内的烃类气体被油品置换排入大气。</w:t>
            </w:r>
          </w:p>
          <w:p>
            <w:pPr>
              <w:pStyle w:val="2"/>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2 \* GB3</w:instrText>
            </w:r>
            <w:r>
              <w:rPr>
                <w:rFonts w:eastAsiaTheme="minorEastAsia"/>
                <w:sz w:val="24"/>
                <w:szCs w:val="24"/>
              </w:rPr>
              <w:fldChar w:fldCharType="separate"/>
            </w:r>
            <w:r>
              <w:rPr>
                <w:rFonts w:hint="eastAsia" w:eastAsiaTheme="minorEastAsia"/>
                <w:sz w:val="24"/>
                <w:szCs w:val="24"/>
              </w:rPr>
              <w:t>②</w:t>
            </w:r>
            <w:r>
              <w:rPr>
                <w:rFonts w:eastAsiaTheme="minorEastAsia"/>
                <w:sz w:val="24"/>
                <w:szCs w:val="24"/>
              </w:rPr>
              <w:fldChar w:fldCharType="end"/>
            </w:r>
            <w:r>
              <w:rPr>
                <w:rFonts w:hint="eastAsia" w:eastAsiaTheme="minorEastAsia"/>
                <w:sz w:val="24"/>
                <w:szCs w:val="24"/>
              </w:rPr>
              <w:t>加油（二次）油气回收系统</w:t>
            </w:r>
          </w:p>
          <w:p>
            <w:pPr>
              <w:pStyle w:val="2"/>
              <w:snapToGrid w:val="0"/>
              <w:spacing w:after="0"/>
              <w:ind w:firstLine="480" w:firstLineChars="200"/>
              <w:rPr>
                <w:rFonts w:eastAsiaTheme="minorEastAsia"/>
                <w:sz w:val="24"/>
                <w:szCs w:val="24"/>
              </w:rPr>
            </w:pPr>
            <w:r>
              <w:rPr>
                <w:rFonts w:hint="eastAsia" w:eastAsiaTheme="minorEastAsia"/>
                <w:sz w:val="24"/>
                <w:szCs w:val="24"/>
              </w:rPr>
              <w:t>加油油气回收也叫二次油气回收。加油机加油时产生的油气，除了来往车辆油箱打开时溢散出的油气外，主要是加油时车油箱内的油气不断地被加入的油液体挤出油箱，造成油气在加油区域内的排放。</w:t>
            </w:r>
          </w:p>
          <w:p>
            <w:pPr>
              <w:pStyle w:val="2"/>
              <w:snapToGrid w:val="0"/>
              <w:spacing w:after="0"/>
              <w:ind w:firstLine="480" w:firstLineChars="200"/>
            </w:pPr>
            <w:r>
              <w:rPr>
                <w:rFonts w:hint="eastAsia" w:eastAsiaTheme="minorEastAsia"/>
                <w:sz w:val="24"/>
                <w:szCs w:val="24"/>
              </w:rPr>
              <w:t>加油油气回收是指在加油时，利用加油枪上的特殊装置，将油箱中的油气经加油、潜油泵、油气回收管道回收到油罐内。</w:t>
            </w:r>
            <w:r>
              <w:rPr>
                <w:rFonts w:hint="eastAsia" w:eastAsia="宋体"/>
                <w:sz w:val="24"/>
                <w:szCs w:val="24"/>
              </w:rPr>
              <w:t>加油油气回收系统示意图见图5-4，实景图见图5-5。</w:t>
            </w:r>
          </w:p>
          <w:p>
            <w:pPr>
              <w:pStyle w:val="2"/>
              <w:spacing w:line="240" w:lineRule="auto"/>
              <w:ind w:firstLine="280"/>
              <w:rPr>
                <w:rFonts w:eastAsia="宋体"/>
                <w:sz w:val="24"/>
                <w:szCs w:val="24"/>
              </w:rPr>
            </w:pPr>
            <w:r>
              <w:drawing>
                <wp:inline distT="0" distB="0" distL="0" distR="0">
                  <wp:extent cx="5448300" cy="2847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448300" cy="2847975"/>
                          </a:xfrm>
                          <a:prstGeom prst="rect">
                            <a:avLst/>
                          </a:prstGeom>
                        </pic:spPr>
                      </pic:pic>
                    </a:graphicData>
                  </a:graphic>
                </wp:inline>
              </w:drawing>
            </w:r>
          </w:p>
          <w:p>
            <w:pPr>
              <w:pStyle w:val="2"/>
              <w:spacing w:line="240" w:lineRule="auto"/>
              <w:ind w:firstLine="240"/>
              <w:jc w:val="center"/>
              <w:rPr>
                <w:rFonts w:eastAsia="宋体"/>
                <w:sz w:val="24"/>
                <w:szCs w:val="24"/>
              </w:rPr>
            </w:pPr>
            <w:r>
              <w:rPr>
                <w:rFonts w:hint="eastAsia" w:eastAsia="宋体"/>
                <w:sz w:val="24"/>
                <w:szCs w:val="24"/>
              </w:rPr>
              <w:t>图5-4 加油油气回收系统示意图</w:t>
            </w:r>
          </w:p>
          <w:p>
            <w:pPr>
              <w:pStyle w:val="2"/>
              <w:ind w:firstLine="280"/>
              <w:jc w:val="center"/>
            </w:pPr>
            <w:r>
              <w:drawing>
                <wp:inline distT="0" distB="0" distL="0" distR="0">
                  <wp:extent cx="2962275" cy="22332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2964095" cy="2234735"/>
                          </a:xfrm>
                          <a:prstGeom prst="rect">
                            <a:avLst/>
                          </a:prstGeom>
                        </pic:spPr>
                      </pic:pic>
                    </a:graphicData>
                  </a:graphic>
                </wp:inline>
              </w:drawing>
            </w:r>
          </w:p>
          <w:p>
            <w:pPr>
              <w:pStyle w:val="2"/>
              <w:ind w:firstLine="240"/>
              <w:jc w:val="center"/>
              <w:rPr>
                <w:rFonts w:eastAsia="宋体"/>
                <w:sz w:val="24"/>
                <w:szCs w:val="24"/>
              </w:rPr>
            </w:pPr>
            <w:r>
              <w:rPr>
                <w:rFonts w:hint="eastAsia" w:eastAsia="宋体"/>
                <w:sz w:val="24"/>
                <w:szCs w:val="24"/>
              </w:rPr>
              <w:t>图5-5加油（二次）油气回收系统实景</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根据《中国加油站VOC 排放污染现状及控制》（沈旻嘉，2006年8月）中所统计数据，汽油加油损耗率（无油气二级回收装置）为2.49kg/t汽油，柴油加油损耗率为0.048kg/t柴油。经计算汽油和柴油在加油过程中油气的产生量分别为7.47t/a和0.0096t/a。</w:t>
            </w:r>
          </w:p>
          <w:p>
            <w:pPr>
              <w:tabs>
                <w:tab w:val="left" w:pos="360"/>
              </w:tabs>
              <w:snapToGrid w:val="0"/>
              <w:ind w:firstLine="480" w:firstLineChars="200"/>
              <w:rPr>
                <w:rFonts w:eastAsia="宋体"/>
                <w:sz w:val="24"/>
                <w:szCs w:val="24"/>
              </w:rPr>
            </w:pPr>
            <w:r>
              <w:rPr>
                <w:rFonts w:hint="eastAsia" w:eastAsia="宋体"/>
                <w:sz w:val="24"/>
                <w:szCs w:val="24"/>
              </w:rPr>
              <w:t>本项目安装二级油气回收系统，加油油气回收系统效率以95%计，则汽油油气排放量为0.37t/a。根据加油站运行经验，每日呼吸阀平均工作时间约为20h。则加油过程中油气总排放速率为0.0523kg/h。</w:t>
            </w:r>
          </w:p>
          <w:p>
            <w:pPr>
              <w:tabs>
                <w:tab w:val="left" w:pos="360"/>
              </w:tabs>
              <w:snapToGrid w:val="0"/>
              <w:ind w:firstLine="480" w:firstLineChars="200"/>
              <w:rPr>
                <w:rFonts w:eastAsia="宋体"/>
                <w:sz w:val="24"/>
                <w:szCs w:val="24"/>
              </w:rPr>
            </w:pPr>
            <w:r>
              <w:rPr>
                <w:rFonts w:hint="eastAsia" w:eastAsia="宋体"/>
                <w:sz w:val="24"/>
                <w:szCs w:val="24"/>
              </w:rPr>
              <w:t>将加油区罩棚所围合的区域作为无组织面源，为25*20m，面源高度按罩棚最低高度6m计。</w:t>
            </w:r>
          </w:p>
          <w:p>
            <w:pPr>
              <w:tabs>
                <w:tab w:val="left" w:pos="360"/>
              </w:tabs>
              <w:snapToGrid w:val="0"/>
              <w:ind w:firstLine="480" w:firstLineChars="200"/>
              <w:rPr>
                <w:rFonts w:eastAsia="宋体"/>
                <w:sz w:val="24"/>
                <w:szCs w:val="24"/>
              </w:rPr>
            </w:pPr>
            <w:r>
              <w:rPr>
                <w:rFonts w:hint="eastAsia" w:eastAsia="宋体"/>
                <w:sz w:val="24"/>
                <w:szCs w:val="24"/>
              </w:rPr>
              <w:t>综上，本项目各工段油气具体产排情况见表5-2。</w:t>
            </w:r>
          </w:p>
          <w:p>
            <w:pPr>
              <w:snapToGrid w:val="0"/>
              <w:jc w:val="center"/>
              <w:rPr>
                <w:rFonts w:eastAsia="宋体"/>
                <w:b/>
                <w:sz w:val="24"/>
                <w:szCs w:val="24"/>
              </w:rPr>
            </w:pPr>
            <w:r>
              <w:rPr>
                <w:rFonts w:eastAsia="宋体"/>
                <w:b/>
                <w:sz w:val="24"/>
                <w:szCs w:val="24"/>
              </w:rPr>
              <w:t>表5-</w:t>
            </w:r>
            <w:r>
              <w:rPr>
                <w:rFonts w:hint="eastAsia" w:eastAsia="宋体"/>
                <w:b/>
                <w:sz w:val="24"/>
                <w:szCs w:val="24"/>
              </w:rPr>
              <w:t>2</w:t>
            </w:r>
            <w:r>
              <w:rPr>
                <w:rFonts w:eastAsia="宋体"/>
                <w:b/>
                <w:sz w:val="24"/>
                <w:szCs w:val="24"/>
              </w:rPr>
              <w:t xml:space="preserve">  加油站油气</w:t>
            </w:r>
            <w:r>
              <w:rPr>
                <w:rFonts w:hint="eastAsia" w:eastAsia="宋体"/>
                <w:b/>
                <w:sz w:val="24"/>
                <w:szCs w:val="24"/>
              </w:rPr>
              <w:t>（非甲烷总烃）产排</w:t>
            </w:r>
            <w:r>
              <w:rPr>
                <w:rFonts w:eastAsia="宋体"/>
                <w:b/>
                <w:sz w:val="24"/>
                <w:szCs w:val="24"/>
              </w:rPr>
              <w:t>量一览表</w:t>
            </w:r>
          </w:p>
          <w:tbl>
            <w:tblPr>
              <w:tblStyle w:val="28"/>
              <w:tblW w:w="907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24"/>
              <w:gridCol w:w="850"/>
              <w:gridCol w:w="707"/>
              <w:gridCol w:w="567"/>
              <w:gridCol w:w="851"/>
              <w:gridCol w:w="850"/>
              <w:gridCol w:w="1422"/>
              <w:gridCol w:w="850"/>
              <w:gridCol w:w="851"/>
              <w:gridCol w:w="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产生工序</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产生系数</w:t>
                  </w:r>
                </w:p>
              </w:tc>
              <w:tc>
                <w:tcPr>
                  <w:tcW w:w="70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周转量t/a</w:t>
                  </w:r>
                </w:p>
              </w:tc>
              <w:tc>
                <w:tcPr>
                  <w:tcW w:w="56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时间h</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产生情况</w:t>
                  </w:r>
                </w:p>
              </w:tc>
              <w:tc>
                <w:tcPr>
                  <w:tcW w:w="1422"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治理措施/效率</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排放情况</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面源参数 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70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56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产生量t/a</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产生速率kg/h</w:t>
                  </w:r>
                </w:p>
              </w:tc>
              <w:tc>
                <w:tcPr>
                  <w:tcW w:w="1422"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排放量t/a</w:t>
                  </w:r>
                </w:p>
              </w:tc>
              <w:tc>
                <w:tcPr>
                  <w:tcW w:w="851" w:type="dxa"/>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排放速率kg/h</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卸油（G1大呼吸废气）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3000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1095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3.017</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2.755</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一级油气回收/99.5%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0.014</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25*20*4.5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9.24</w:t>
                  </w:r>
                  <w:r>
                    <w:rPr>
                      <w:rFonts w:eastAsia="宋体"/>
                      <w:sz w:val="18"/>
                      <w:szCs w:val="18"/>
                    </w:rPr>
                    <w:t>E-0</w:t>
                  </w:r>
                  <w:r>
                    <w:rPr>
                      <w:rFonts w:hint="eastAsia" w:eastAsia="宋体"/>
                      <w:sz w:val="18"/>
                      <w:szCs w:val="18"/>
                    </w:rPr>
                    <w:t>7</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4.62E-5</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9.24</w:t>
                  </w:r>
                  <w:r>
                    <w:rPr>
                      <w:rFonts w:eastAsia="宋体"/>
                      <w:sz w:val="18"/>
                      <w:szCs w:val="18"/>
                    </w:rPr>
                    <w:t>E-0</w:t>
                  </w:r>
                  <w:r>
                    <w:rPr>
                      <w:rFonts w:hint="eastAsia" w:eastAsia="宋体"/>
                      <w:sz w:val="18"/>
                      <w:szCs w:val="18"/>
                    </w:rPr>
                    <w:t>7</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4.62E-5</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储油（G2小呼吸废气）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3000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加油废气G3</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2.49kg/t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3000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7.47</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1.02</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二级油气回收/95%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0.37</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0.051</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25*20*6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0.048kg/t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0.0096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0.0013</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0.0096</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0.0013</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总计</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10.4966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0.3946</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bl>
          <w:p>
            <w:pPr>
              <w:snapToGrid w:val="0"/>
              <w:ind w:firstLine="480" w:firstLineChars="200"/>
              <w:rPr>
                <w:rFonts w:ascii="宋体" w:hAnsi="宋体" w:eastAsia="宋体" w:cs="宋体"/>
                <w:sz w:val="24"/>
                <w:szCs w:val="24"/>
              </w:rPr>
            </w:pPr>
            <w:r>
              <w:rPr>
                <w:rFonts w:hint="eastAsia" w:ascii="宋体" w:hAnsi="宋体" w:eastAsia="宋体" w:cs="宋体"/>
                <w:sz w:val="24"/>
                <w:szCs w:val="24"/>
              </w:rPr>
              <w:t>（二）机动车尾气</w:t>
            </w:r>
          </w:p>
          <w:p>
            <w:pPr>
              <w:snapToGrid w:val="0"/>
              <w:ind w:firstLine="480" w:firstLineChars="200"/>
              <w:rPr>
                <w:rFonts w:ascii="宋体" w:hAnsi="宋体" w:eastAsia="宋体" w:cs="宋体"/>
                <w:sz w:val="24"/>
                <w:szCs w:val="24"/>
              </w:rPr>
            </w:pPr>
            <w:r>
              <w:rPr>
                <w:rFonts w:hint="eastAsia" w:ascii="宋体" w:hAnsi="宋体" w:eastAsia="宋体" w:cs="宋体"/>
                <w:sz w:val="24"/>
                <w:szCs w:val="24"/>
              </w:rPr>
              <w:t>站内汽车进出时会排放一定的尾气，尾气中含有CO、HC等污染物。汽车启动时间较短，尾气产生量小，且本项目处于空旷地带，通风状况较好，汽车尾气很快在空气中扩散，汽车排放的少量尾气对周边环境影响较小，故不进行定量计算。</w:t>
            </w:r>
          </w:p>
          <w:p>
            <w:pPr>
              <w:tabs>
                <w:tab w:val="left" w:pos="360"/>
              </w:tabs>
              <w:snapToGrid w:val="0"/>
              <w:spacing w:line="500" w:lineRule="exact"/>
              <w:ind w:firstLine="463" w:firstLineChars="192"/>
              <w:rPr>
                <w:rFonts w:eastAsia="宋体"/>
                <w:b/>
                <w:sz w:val="24"/>
                <w:szCs w:val="24"/>
              </w:rPr>
            </w:pPr>
            <w:r>
              <w:rPr>
                <w:rFonts w:eastAsia="宋体"/>
                <w:b/>
                <w:sz w:val="24"/>
                <w:szCs w:val="24"/>
              </w:rPr>
              <w:t>2、水污染物</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本项目正常营运期用水主要为生活用水。</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①</w:t>
            </w:r>
            <w:r>
              <w:rPr>
                <w:rFonts w:eastAsia="宋体"/>
                <w:sz w:val="24"/>
                <w:szCs w:val="24"/>
              </w:rPr>
              <w:t>顾客生活污水：根据加油站运营核算以进站加油车辆的50%作为司乘人数(按</w:t>
            </w:r>
            <w:r>
              <w:rPr>
                <w:rFonts w:hint="eastAsia" w:eastAsia="宋体"/>
                <w:sz w:val="24"/>
                <w:szCs w:val="24"/>
              </w:rPr>
              <w:t>20</w:t>
            </w:r>
            <w:r>
              <w:rPr>
                <w:rFonts w:eastAsia="宋体"/>
                <w:sz w:val="24"/>
                <w:szCs w:val="24"/>
              </w:rPr>
              <w:t>0人/天计算)，每人次用水10L(依据建筑给水排水设计规范GB 50015—2003计算），则年用水量约为73</w:t>
            </w:r>
            <w:r>
              <w:rPr>
                <w:rFonts w:hint="eastAsia" w:eastAsia="宋体"/>
                <w:sz w:val="24"/>
                <w:szCs w:val="24"/>
              </w:rPr>
              <w:t>0</w:t>
            </w:r>
            <w:r>
              <w:rPr>
                <w:rFonts w:eastAsia="宋体"/>
                <w:sz w:val="24"/>
                <w:szCs w:val="24"/>
              </w:rPr>
              <w:t>t，排水量按用水量的80%计，年排放量约584t。</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②职工</w:t>
            </w:r>
            <w:r>
              <w:rPr>
                <w:rFonts w:eastAsia="宋体"/>
                <w:sz w:val="24"/>
                <w:szCs w:val="24"/>
              </w:rPr>
              <w:t>生活污水：项目职工</w:t>
            </w:r>
            <w:r>
              <w:rPr>
                <w:rFonts w:hint="eastAsia" w:eastAsia="宋体"/>
                <w:sz w:val="24"/>
                <w:szCs w:val="24"/>
              </w:rPr>
              <w:t>定员7</w:t>
            </w:r>
            <w:r>
              <w:rPr>
                <w:rFonts w:eastAsia="宋体"/>
                <w:sz w:val="24"/>
                <w:szCs w:val="24"/>
              </w:rPr>
              <w:t>人，用水量按50L/人·天计，则建设项目年用水量约为</w:t>
            </w:r>
            <w:r>
              <w:rPr>
                <w:rFonts w:hint="eastAsia" w:eastAsia="宋体"/>
                <w:sz w:val="24"/>
                <w:szCs w:val="24"/>
              </w:rPr>
              <w:t>128</w:t>
            </w:r>
            <w:r>
              <w:rPr>
                <w:rFonts w:eastAsia="宋体"/>
                <w:sz w:val="24"/>
                <w:szCs w:val="24"/>
              </w:rPr>
              <w:t>t，排水量按用水量的80%计，生活污水年排放量约</w:t>
            </w:r>
            <w:r>
              <w:rPr>
                <w:rFonts w:hint="eastAsia" w:eastAsia="宋体"/>
                <w:sz w:val="24"/>
                <w:szCs w:val="24"/>
              </w:rPr>
              <w:t>102.4</w:t>
            </w:r>
            <w:r>
              <w:rPr>
                <w:rFonts w:eastAsia="宋体"/>
                <w:sz w:val="24"/>
                <w:szCs w:val="24"/>
              </w:rPr>
              <w:t>t；项目废水产生情况和排放情况见表5-</w:t>
            </w:r>
            <w:r>
              <w:rPr>
                <w:rFonts w:hint="eastAsia" w:eastAsia="宋体"/>
                <w:sz w:val="24"/>
                <w:szCs w:val="24"/>
              </w:rPr>
              <w:t>3</w:t>
            </w:r>
            <w:r>
              <w:rPr>
                <w:rFonts w:eastAsia="宋体"/>
                <w:sz w:val="24"/>
                <w:szCs w:val="24"/>
              </w:rPr>
              <w:t>。</w:t>
            </w:r>
          </w:p>
          <w:p>
            <w:pPr>
              <w:snapToGrid w:val="0"/>
              <w:spacing w:line="500" w:lineRule="exact"/>
              <w:ind w:right="140" w:rightChars="50"/>
              <w:jc w:val="center"/>
              <w:rPr>
                <w:rFonts w:eastAsia="宋体"/>
                <w:b/>
                <w:sz w:val="24"/>
                <w:szCs w:val="24"/>
              </w:rPr>
            </w:pPr>
            <w:r>
              <w:rPr>
                <w:rFonts w:eastAsia="宋体"/>
                <w:b/>
                <w:sz w:val="24"/>
                <w:szCs w:val="24"/>
              </w:rPr>
              <w:t>表5-</w:t>
            </w:r>
            <w:r>
              <w:rPr>
                <w:rFonts w:hint="eastAsia" w:eastAsia="宋体"/>
                <w:b/>
                <w:sz w:val="24"/>
                <w:szCs w:val="24"/>
              </w:rPr>
              <w:t>3</w:t>
            </w:r>
            <w:r>
              <w:rPr>
                <w:rFonts w:eastAsia="宋体"/>
                <w:b/>
                <w:sz w:val="24"/>
                <w:szCs w:val="24"/>
              </w:rPr>
              <w:t xml:space="preserve"> 项目废水产生和排放情况表</w:t>
            </w:r>
          </w:p>
          <w:tbl>
            <w:tblPr>
              <w:tblStyle w:val="28"/>
              <w:tblW w:w="91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6"/>
              <w:gridCol w:w="1701"/>
              <w:gridCol w:w="1275"/>
              <w:gridCol w:w="1701"/>
              <w:gridCol w:w="1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废水量(t/a)</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1276"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686.4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w:t>
                  </w:r>
                  <w:r>
                    <w:rPr>
                      <w:rFonts w:eastAsia="宋体"/>
                      <w:sz w:val="21"/>
                      <w:szCs w:val="21"/>
                    </w:rPr>
                    <w:t>OD</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0.24</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250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0.17</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200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氨氮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0.021</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25</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总磷</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0.0021</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0.034</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45</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0.031</w:t>
                  </w:r>
                </w:p>
              </w:tc>
            </w:tr>
          </w:tbl>
          <w:p>
            <w:pPr>
              <w:snapToGrid w:val="0"/>
              <w:spacing w:line="500" w:lineRule="exact"/>
              <w:ind w:firstLine="480" w:firstLineChars="200"/>
              <w:rPr>
                <w:rFonts w:eastAsia="宋体"/>
                <w:sz w:val="24"/>
                <w:szCs w:val="24"/>
              </w:rPr>
            </w:pPr>
            <w:r>
              <w:rPr>
                <w:rFonts w:hint="eastAsia" w:eastAsia="宋体"/>
                <w:kern w:val="0"/>
                <w:sz w:val="24"/>
                <w:szCs w:val="24"/>
              </w:rPr>
              <w:t>产生的废水经化粪池处理</w:t>
            </w:r>
            <w:r>
              <w:rPr>
                <w:rFonts w:eastAsia="宋体"/>
                <w:bCs/>
                <w:kern w:val="0"/>
                <w:sz w:val="24"/>
                <w:szCs w:val="24"/>
              </w:rPr>
              <w:t>达</w:t>
            </w:r>
            <w:r>
              <w:rPr>
                <w:rFonts w:hint="eastAsia" w:eastAsia="宋体"/>
                <w:kern w:val="0"/>
                <w:sz w:val="24"/>
                <w:szCs w:val="24"/>
              </w:rPr>
              <w:t>到</w:t>
            </w:r>
            <w:r>
              <w:rPr>
                <w:rFonts w:hint="eastAsia" w:eastAsia="宋体"/>
                <w:bCs/>
                <w:sz w:val="24"/>
                <w:szCs w:val="24"/>
              </w:rPr>
              <w:t>沭阳县城东污水处理厂</w:t>
            </w:r>
            <w:r>
              <w:rPr>
                <w:rFonts w:hint="eastAsia" w:eastAsia="宋体"/>
                <w:kern w:val="0"/>
                <w:sz w:val="24"/>
                <w:szCs w:val="24"/>
              </w:rPr>
              <w:t>接管标</w:t>
            </w:r>
            <w:r>
              <w:rPr>
                <w:rFonts w:eastAsia="宋体"/>
                <w:bCs/>
                <w:kern w:val="0"/>
                <w:sz w:val="24"/>
                <w:szCs w:val="24"/>
              </w:rPr>
              <w:t>准后，经市政污水管网排入</w:t>
            </w:r>
            <w:r>
              <w:rPr>
                <w:rFonts w:hint="eastAsia" w:eastAsia="宋体"/>
                <w:bCs/>
                <w:sz w:val="24"/>
                <w:szCs w:val="24"/>
              </w:rPr>
              <w:t>沭阳县城东污水处理厂</w:t>
            </w:r>
            <w:r>
              <w:rPr>
                <w:rFonts w:eastAsia="宋体"/>
                <w:bCs/>
                <w:kern w:val="0"/>
                <w:sz w:val="24"/>
                <w:szCs w:val="24"/>
              </w:rPr>
              <w:t>集中处理，经污水处理厂处理后的尾水达到《城镇污水处理厂污染物排放标准》（GB18918-2002）表1中一级</w:t>
            </w:r>
            <w:r>
              <w:rPr>
                <w:rFonts w:hint="eastAsia" w:eastAsia="宋体"/>
                <w:bCs/>
                <w:kern w:val="0"/>
                <w:sz w:val="24"/>
                <w:szCs w:val="24"/>
              </w:rPr>
              <w:t>A</w:t>
            </w:r>
            <w:r>
              <w:rPr>
                <w:rFonts w:eastAsia="宋体"/>
                <w:bCs/>
                <w:kern w:val="0"/>
                <w:sz w:val="24"/>
                <w:szCs w:val="24"/>
              </w:rPr>
              <w:t>标准</w:t>
            </w:r>
            <w:r>
              <w:rPr>
                <w:rFonts w:hint="eastAsia" w:eastAsia="宋体"/>
                <w:bCs/>
                <w:kern w:val="0"/>
                <w:sz w:val="24"/>
                <w:szCs w:val="24"/>
              </w:rPr>
              <w:t>后</w:t>
            </w:r>
            <w:r>
              <w:rPr>
                <w:rFonts w:eastAsia="宋体"/>
                <w:bCs/>
                <w:kern w:val="0"/>
                <w:sz w:val="24"/>
                <w:szCs w:val="24"/>
              </w:rPr>
              <w:t>排入</w:t>
            </w:r>
            <w:r>
              <w:rPr>
                <w:rFonts w:hint="eastAsia" w:eastAsia="宋体"/>
                <w:bCs/>
                <w:kern w:val="0"/>
                <w:sz w:val="24"/>
                <w:szCs w:val="24"/>
              </w:rPr>
              <w:t>沂南河</w:t>
            </w:r>
            <w:r>
              <w:rPr>
                <w:rFonts w:hint="eastAsia" w:eastAsia="宋体"/>
                <w:kern w:val="0"/>
                <w:sz w:val="24"/>
                <w:szCs w:val="24"/>
              </w:rPr>
              <w:t>。</w:t>
            </w:r>
          </w:p>
          <w:p>
            <w:pPr>
              <w:tabs>
                <w:tab w:val="left" w:pos="360"/>
              </w:tabs>
              <w:snapToGrid w:val="0"/>
              <w:spacing w:line="500" w:lineRule="exact"/>
              <w:ind w:firstLine="463" w:firstLineChars="192"/>
              <w:rPr>
                <w:rFonts w:eastAsia="宋体"/>
                <w:b/>
                <w:sz w:val="24"/>
                <w:szCs w:val="24"/>
              </w:rPr>
            </w:pPr>
            <w:r>
              <w:rPr>
                <w:rFonts w:eastAsia="宋体"/>
                <w:b/>
                <w:sz w:val="24"/>
                <w:szCs w:val="24"/>
              </w:rPr>
              <w:t>3、噪声污染源</w:t>
            </w:r>
          </w:p>
          <w:p>
            <w:pPr>
              <w:snapToGrid w:val="0"/>
              <w:spacing w:line="500" w:lineRule="exact"/>
              <w:ind w:firstLine="480" w:firstLineChars="200"/>
              <w:rPr>
                <w:rFonts w:eastAsia="宋体"/>
                <w:sz w:val="24"/>
                <w:szCs w:val="24"/>
              </w:rPr>
            </w:pPr>
            <w:r>
              <w:rPr>
                <w:rFonts w:eastAsia="宋体"/>
                <w:sz w:val="24"/>
                <w:szCs w:val="24"/>
              </w:rPr>
              <w:t>本项目在运行过程中产生噪声主要为加油机、油泵等设备噪声和进出加油站的车辆噪声，为间歇排放。噪声源强约75-8</w:t>
            </w:r>
            <w:r>
              <w:rPr>
                <w:rFonts w:hint="eastAsia" w:eastAsia="宋体"/>
                <w:sz w:val="24"/>
                <w:szCs w:val="24"/>
              </w:rPr>
              <w:t>0</w:t>
            </w:r>
            <w:r>
              <w:rPr>
                <w:rFonts w:eastAsia="宋体"/>
                <w:sz w:val="24"/>
                <w:szCs w:val="24"/>
              </w:rPr>
              <w:t>dB（A）。</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5-4</w:t>
            </w:r>
            <w:r>
              <w:rPr>
                <w:rFonts w:eastAsia="宋体"/>
                <w:b/>
                <w:bCs/>
                <w:sz w:val="24"/>
                <w:szCs w:val="24"/>
              </w:rPr>
              <w:t xml:space="preserve">   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spacing w:line="500" w:lineRule="exact"/>
              <w:ind w:firstLine="463" w:firstLineChars="192"/>
              <w:rPr>
                <w:rFonts w:eastAsia="宋体"/>
                <w:b/>
                <w:sz w:val="24"/>
                <w:szCs w:val="24"/>
              </w:rPr>
            </w:pPr>
            <w:r>
              <w:rPr>
                <w:rFonts w:eastAsia="宋体"/>
                <w:b/>
                <w:sz w:val="24"/>
                <w:szCs w:val="24"/>
              </w:rPr>
              <w:t>4、固体废物</w:t>
            </w:r>
          </w:p>
          <w:p>
            <w:pPr>
              <w:snapToGrid w:val="0"/>
              <w:spacing w:line="500" w:lineRule="exact"/>
              <w:ind w:firstLine="480" w:firstLineChars="200"/>
              <w:rPr>
                <w:rFonts w:eastAsia="宋体"/>
                <w:sz w:val="24"/>
                <w:szCs w:val="24"/>
              </w:rPr>
            </w:pPr>
            <w:r>
              <w:rPr>
                <w:rFonts w:hint="eastAsia" w:eastAsia="宋体"/>
                <w:sz w:val="24"/>
                <w:szCs w:val="24"/>
              </w:rPr>
              <w:t>项目正常营运期间产生的固体废物主要为生活垃圾和清罐油渣。</w:t>
            </w:r>
          </w:p>
          <w:p>
            <w:pPr>
              <w:snapToGrid w:val="0"/>
              <w:spacing w:line="500" w:lineRule="exact"/>
              <w:ind w:firstLine="480" w:firstLineChars="200"/>
              <w:rPr>
                <w:rFonts w:eastAsia="宋体"/>
                <w:sz w:val="24"/>
                <w:szCs w:val="24"/>
              </w:rPr>
            </w:pPr>
            <w:r>
              <w:rPr>
                <w:rFonts w:hint="eastAsia" w:eastAsia="宋体"/>
                <w:sz w:val="24"/>
                <w:szCs w:val="24"/>
              </w:rPr>
              <w:t>生活垃圾：</w:t>
            </w:r>
            <w:r>
              <w:rPr>
                <w:rFonts w:eastAsia="宋体"/>
                <w:sz w:val="24"/>
                <w:szCs w:val="24"/>
              </w:rPr>
              <w:t>工作人员产生的生活垃圾以0.5kg/d·人计，加油站有工作人员</w:t>
            </w:r>
            <w:r>
              <w:rPr>
                <w:rFonts w:hint="eastAsia" w:eastAsia="宋体"/>
                <w:sz w:val="24"/>
                <w:szCs w:val="24"/>
              </w:rPr>
              <w:t>7</w:t>
            </w:r>
            <w:r>
              <w:rPr>
                <w:rFonts w:eastAsia="宋体"/>
                <w:sz w:val="24"/>
                <w:szCs w:val="24"/>
              </w:rPr>
              <w:t>人，则可计算出生活垃圾的产生量</w:t>
            </w:r>
            <w:r>
              <w:rPr>
                <w:rFonts w:hint="eastAsia" w:eastAsia="宋体"/>
                <w:sz w:val="24"/>
                <w:szCs w:val="24"/>
              </w:rPr>
              <w:t>约</w:t>
            </w:r>
            <w:r>
              <w:rPr>
                <w:rFonts w:eastAsia="宋体"/>
                <w:sz w:val="24"/>
                <w:szCs w:val="24"/>
              </w:rPr>
              <w:t>为</w:t>
            </w:r>
            <w:r>
              <w:rPr>
                <w:rFonts w:hint="eastAsia" w:eastAsia="宋体"/>
                <w:sz w:val="24"/>
                <w:szCs w:val="24"/>
              </w:rPr>
              <w:t>1.3</w:t>
            </w:r>
            <w:r>
              <w:rPr>
                <w:rFonts w:eastAsia="宋体"/>
                <w:sz w:val="24"/>
                <w:szCs w:val="24"/>
              </w:rPr>
              <w:t>t/a。顾客生活垃圾按人均0.05kg/d算，每天约40</w:t>
            </w:r>
            <w:r>
              <w:rPr>
                <w:rFonts w:hint="eastAsia" w:eastAsia="宋体"/>
                <w:sz w:val="24"/>
                <w:szCs w:val="24"/>
              </w:rPr>
              <w:t>0</w:t>
            </w:r>
            <w:r>
              <w:rPr>
                <w:rFonts w:eastAsia="宋体"/>
                <w:sz w:val="24"/>
                <w:szCs w:val="24"/>
              </w:rPr>
              <w:t>人，顾客生活垃圾产生量为7</w:t>
            </w:r>
            <w:r>
              <w:rPr>
                <w:rFonts w:hint="eastAsia" w:eastAsia="宋体"/>
                <w:sz w:val="24"/>
                <w:szCs w:val="24"/>
              </w:rPr>
              <w:t>.</w:t>
            </w:r>
            <w:r>
              <w:rPr>
                <w:rFonts w:eastAsia="宋体"/>
                <w:sz w:val="24"/>
                <w:szCs w:val="24"/>
              </w:rPr>
              <w:t>3t/a。合计生活垃圾产生量为</w:t>
            </w:r>
            <w:r>
              <w:rPr>
                <w:rFonts w:hint="eastAsia" w:eastAsia="宋体"/>
                <w:sz w:val="24"/>
                <w:szCs w:val="24"/>
              </w:rPr>
              <w:t>8.6</w:t>
            </w:r>
            <w:r>
              <w:rPr>
                <w:rFonts w:eastAsia="宋体"/>
                <w:sz w:val="24"/>
                <w:szCs w:val="24"/>
              </w:rPr>
              <w:t>t/a，由环卫部门统一清运。</w:t>
            </w:r>
          </w:p>
          <w:p>
            <w:pPr>
              <w:snapToGrid w:val="0"/>
              <w:spacing w:line="500" w:lineRule="exact"/>
              <w:ind w:firstLine="480" w:firstLineChars="200"/>
              <w:rPr>
                <w:rFonts w:eastAsia="宋体"/>
                <w:sz w:val="24"/>
                <w:szCs w:val="24"/>
              </w:rPr>
            </w:pPr>
            <w:r>
              <w:rPr>
                <w:rFonts w:eastAsia="宋体"/>
                <w:sz w:val="24"/>
                <w:szCs w:val="24"/>
              </w:rPr>
              <w:t>清罐油渣</w:t>
            </w:r>
            <w:r>
              <w:rPr>
                <w:rFonts w:hint="eastAsia" w:eastAsia="宋体"/>
                <w:sz w:val="24"/>
                <w:szCs w:val="24"/>
              </w:rPr>
              <w:t>：加油站</w:t>
            </w:r>
            <w:r>
              <w:rPr>
                <w:rFonts w:eastAsia="宋体"/>
                <w:sz w:val="24"/>
                <w:szCs w:val="24"/>
              </w:rPr>
              <w:t>需对油罐进行定期清理，清罐周期为</w:t>
            </w:r>
            <w:r>
              <w:rPr>
                <w:rFonts w:hint="eastAsia" w:eastAsia="宋体"/>
                <w:sz w:val="24"/>
                <w:szCs w:val="24"/>
              </w:rPr>
              <w:t>3</w:t>
            </w:r>
            <w:r>
              <w:rPr>
                <w:rFonts w:eastAsia="宋体"/>
                <w:sz w:val="24"/>
                <w:szCs w:val="24"/>
              </w:rPr>
              <w:t>年，据《国家危险废物名录》以及《危险废物鉴别标准</w:t>
            </w:r>
            <w:r>
              <w:rPr>
                <w:rFonts w:hint="eastAsia" w:eastAsia="宋体"/>
                <w:sz w:val="24"/>
                <w:szCs w:val="24"/>
              </w:rPr>
              <w:t xml:space="preserve"> 通则</w:t>
            </w:r>
            <w:r>
              <w:rPr>
                <w:rFonts w:eastAsia="宋体"/>
                <w:sz w:val="24"/>
                <w:szCs w:val="24"/>
              </w:rPr>
              <w:t>》，清罐产生的油渣属于危险废物。单个油罐每次清除出的罐底淤积物约0.2</w:t>
            </w:r>
            <w:r>
              <w:rPr>
                <w:rFonts w:hint="eastAsia" w:eastAsia="宋体"/>
                <w:sz w:val="24"/>
                <w:szCs w:val="24"/>
              </w:rPr>
              <w:t>5</w:t>
            </w:r>
            <w:r>
              <w:rPr>
                <w:rFonts w:eastAsia="宋体"/>
                <w:sz w:val="24"/>
                <w:szCs w:val="24"/>
              </w:rPr>
              <w:t>t，本项目共</w:t>
            </w:r>
            <w:r>
              <w:rPr>
                <w:rFonts w:hint="eastAsia" w:eastAsia="宋体"/>
                <w:sz w:val="24"/>
                <w:szCs w:val="24"/>
              </w:rPr>
              <w:t>4</w:t>
            </w:r>
            <w:r>
              <w:rPr>
                <w:rFonts w:eastAsia="宋体"/>
                <w:sz w:val="24"/>
                <w:szCs w:val="24"/>
              </w:rPr>
              <w:t>个油罐，则本加油站清罐产生的油渣约为</w:t>
            </w:r>
            <w:r>
              <w:rPr>
                <w:rFonts w:hint="eastAsia" w:eastAsia="宋体"/>
                <w:sz w:val="24"/>
                <w:szCs w:val="24"/>
              </w:rPr>
              <w:t>1.00</w:t>
            </w:r>
            <w:r>
              <w:rPr>
                <w:rFonts w:eastAsia="宋体"/>
                <w:sz w:val="24"/>
                <w:szCs w:val="24"/>
              </w:rPr>
              <w:t>t/</w:t>
            </w:r>
            <w:r>
              <w:rPr>
                <w:rFonts w:hint="eastAsia" w:eastAsia="宋体"/>
                <w:sz w:val="24"/>
                <w:szCs w:val="24"/>
              </w:rPr>
              <w:t>3</w:t>
            </w:r>
            <w:r>
              <w:rPr>
                <w:rFonts w:eastAsia="宋体"/>
                <w:sz w:val="24"/>
                <w:szCs w:val="24"/>
              </w:rPr>
              <w:t>a。</w:t>
            </w:r>
            <w:r>
              <w:rPr>
                <w:rFonts w:hint="eastAsia" w:eastAsia="宋体"/>
                <w:sz w:val="24"/>
                <w:szCs w:val="24"/>
              </w:rPr>
              <w:t>油罐清洗委托有资质的专业第三方清洗单位清洗，产生的罐渣由清洗单位清洗后直接清运。因此加油站油罐清洗过程不涉及危险废物的暂存处置。</w:t>
            </w:r>
          </w:p>
          <w:p>
            <w:pPr>
              <w:snapToGrid w:val="0"/>
              <w:spacing w:line="500" w:lineRule="exact"/>
              <w:ind w:firstLine="480" w:firstLineChars="200"/>
              <w:rPr>
                <w:rFonts w:eastAsia="宋体"/>
                <w:sz w:val="24"/>
                <w:szCs w:val="24"/>
              </w:rPr>
            </w:pPr>
            <w:r>
              <w:rPr>
                <w:rFonts w:hint="eastAsia" w:eastAsia="宋体"/>
                <w:sz w:val="24"/>
                <w:szCs w:val="24"/>
              </w:rPr>
              <w:t>本项目产生的各副产物根据《固体废物鉴别标准通则》（GB34330-2017）、《国家危险废物名录（2016年）》和《危险废物鉴别标准 通则》（GB 5085.7-2019）等相关文件进行工业固体废物及危险废物的判定。</w:t>
            </w:r>
          </w:p>
          <w:p>
            <w:pPr>
              <w:snapToGrid w:val="0"/>
              <w:spacing w:line="500" w:lineRule="exact"/>
              <w:ind w:firstLine="480" w:firstLineChars="200"/>
              <w:rPr>
                <w:rFonts w:eastAsia="宋体"/>
                <w:sz w:val="24"/>
                <w:szCs w:val="24"/>
              </w:rPr>
            </w:pPr>
            <w:r>
              <w:rPr>
                <w:rFonts w:eastAsia="宋体"/>
                <w:sz w:val="24"/>
                <w:szCs w:val="24"/>
              </w:rPr>
              <w:t>建设项目固废产生情况汇总表见表5-</w:t>
            </w:r>
            <w:r>
              <w:rPr>
                <w:rFonts w:hint="eastAsia" w:eastAsia="宋体"/>
                <w:sz w:val="24"/>
                <w:szCs w:val="24"/>
              </w:rPr>
              <w:t>5</w:t>
            </w:r>
            <w:r>
              <w:rPr>
                <w:rFonts w:eastAsia="宋体"/>
                <w:sz w:val="24"/>
                <w:szCs w:val="24"/>
              </w:rPr>
              <w:t>。</w:t>
            </w:r>
          </w:p>
          <w:p>
            <w:pPr>
              <w:jc w:val="center"/>
              <w:rPr>
                <w:rFonts w:eastAsia="宋体"/>
                <w:b/>
                <w:sz w:val="24"/>
                <w:szCs w:val="24"/>
              </w:rPr>
            </w:pPr>
            <w:r>
              <w:rPr>
                <w:rFonts w:eastAsia="宋体"/>
                <w:b/>
                <w:sz w:val="24"/>
                <w:szCs w:val="24"/>
              </w:rPr>
              <w:t>表5-</w:t>
            </w:r>
            <w:r>
              <w:rPr>
                <w:rFonts w:hint="eastAsia" w:eastAsia="宋体"/>
                <w:b/>
                <w:sz w:val="24"/>
                <w:szCs w:val="24"/>
              </w:rPr>
              <w:t>5</w:t>
            </w:r>
            <w:r>
              <w:rPr>
                <w:rFonts w:eastAsia="宋体"/>
                <w:b/>
                <w:sz w:val="24"/>
                <w:szCs w:val="24"/>
              </w:rPr>
              <w:t xml:space="preserve">  建设项目固废产生情况汇总表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5"/>
              <w:gridCol w:w="991"/>
              <w:gridCol w:w="851"/>
              <w:gridCol w:w="851"/>
              <w:gridCol w:w="1134"/>
              <w:gridCol w:w="1134"/>
              <w:gridCol w:w="1134"/>
              <w:gridCol w:w="851"/>
              <w:gridCol w:w="170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9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预测产生量</w:t>
                  </w:r>
                </w:p>
              </w:tc>
              <w:tc>
                <w:tcPr>
                  <w:tcW w:w="368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99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副产品</w:t>
                  </w:r>
                </w:p>
              </w:tc>
              <w:tc>
                <w:tcPr>
                  <w:tcW w:w="17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w:t>
                  </w:r>
                  <w:r>
                    <w:rPr>
                      <w:rFonts w:eastAsia="宋体"/>
                      <w:sz w:val="21"/>
                      <w:szCs w:val="21"/>
                    </w:rPr>
                    <w: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《固体废物鉴别标准通则》（GB34330-2017）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员工</w:t>
                  </w:r>
                  <w:r>
                    <w:rPr>
                      <w:rFonts w:eastAsia="宋体"/>
                      <w:sz w:val="21"/>
                      <w:szCs w:val="21"/>
                    </w:rPr>
                    <w:t>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8.6</w:t>
                  </w:r>
                  <w:r>
                    <w:rPr>
                      <w:rFonts w:eastAsia="宋体"/>
                      <w:sz w:val="24"/>
                      <w:szCs w:val="24"/>
                    </w:rPr>
                    <w:t xml:space="preserve"> 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continue"/>
                  <w:vAlign w:val="center"/>
                </w:tcPr>
                <w:p>
                  <w:pPr>
                    <w:spacing w:line="280" w:lineRule="exact"/>
                    <w:jc w:val="center"/>
                    <w:rPr>
                      <w:rFonts w:eastAsia="宋体"/>
                      <w:sz w:val="21"/>
                      <w:szCs w:val="21"/>
                    </w:rPr>
                  </w:pPr>
                </w:p>
              </w:tc>
            </w:tr>
          </w:tbl>
          <w:p>
            <w:pPr>
              <w:tabs>
                <w:tab w:val="left" w:pos="360"/>
              </w:tabs>
              <w:snapToGrid w:val="0"/>
              <w:spacing w:line="500" w:lineRule="exact"/>
              <w:ind w:firstLine="460" w:firstLineChars="192"/>
              <w:rPr>
                <w:rFonts w:eastAsia="宋体"/>
                <w:sz w:val="24"/>
                <w:szCs w:val="24"/>
              </w:rPr>
            </w:pPr>
            <w:r>
              <w:rPr>
                <w:rFonts w:eastAsia="宋体"/>
                <w:sz w:val="24"/>
                <w:szCs w:val="24"/>
              </w:rPr>
              <w:t>项目营运期固体废物</w:t>
            </w:r>
            <w:r>
              <w:rPr>
                <w:rFonts w:hint="eastAsia" w:eastAsia="宋体"/>
                <w:sz w:val="24"/>
                <w:szCs w:val="24"/>
              </w:rPr>
              <w:t>属性</w:t>
            </w:r>
            <w:r>
              <w:rPr>
                <w:rFonts w:eastAsia="宋体"/>
                <w:sz w:val="24"/>
                <w:szCs w:val="24"/>
              </w:rPr>
              <w:t>分析结果汇总表见表5-</w:t>
            </w:r>
            <w:r>
              <w:rPr>
                <w:rFonts w:hint="eastAsia" w:eastAsia="宋体"/>
                <w:sz w:val="24"/>
                <w:szCs w:val="24"/>
              </w:rPr>
              <w:t>6</w:t>
            </w:r>
            <w:r>
              <w:rPr>
                <w:rFonts w:eastAsia="宋体"/>
                <w:sz w:val="24"/>
                <w:szCs w:val="24"/>
              </w:rPr>
              <w:t>，项目危险废物汇总情况详见表5-</w:t>
            </w:r>
            <w:r>
              <w:rPr>
                <w:rFonts w:hint="eastAsia" w:eastAsia="宋体"/>
                <w:sz w:val="24"/>
                <w:szCs w:val="24"/>
              </w:rPr>
              <w:t>7</w:t>
            </w:r>
            <w:r>
              <w:rPr>
                <w:rFonts w:eastAsia="宋体"/>
                <w:sz w:val="24"/>
                <w:szCs w:val="24"/>
              </w:rPr>
              <w:t>。</w:t>
            </w:r>
          </w:p>
          <w:p>
            <w:pPr>
              <w:ind w:firstLine="482" w:firstLineChars="200"/>
              <w:jc w:val="center"/>
              <w:rPr>
                <w:rFonts w:eastAsia="宋体"/>
                <w:b/>
                <w:sz w:val="24"/>
                <w:szCs w:val="24"/>
              </w:rPr>
            </w:pPr>
            <w:r>
              <w:rPr>
                <w:rFonts w:eastAsia="宋体"/>
                <w:b/>
                <w:sz w:val="24"/>
                <w:szCs w:val="24"/>
              </w:rPr>
              <w:t>表5-</w:t>
            </w:r>
            <w:r>
              <w:rPr>
                <w:rFonts w:hint="eastAsia" w:eastAsia="宋体"/>
                <w:b/>
                <w:sz w:val="24"/>
                <w:szCs w:val="24"/>
              </w:rPr>
              <w:t>6</w:t>
            </w:r>
            <w:r>
              <w:rPr>
                <w:rFonts w:eastAsia="宋体"/>
                <w:b/>
                <w:sz w:val="24"/>
                <w:szCs w:val="24"/>
              </w:rPr>
              <w:t xml:space="preserve">  营运期固体废物</w:t>
            </w:r>
            <w:r>
              <w:rPr>
                <w:rFonts w:hint="eastAsia" w:eastAsia="宋体"/>
                <w:b/>
                <w:sz w:val="24"/>
                <w:szCs w:val="24"/>
              </w:rPr>
              <w:t>属性</w:t>
            </w:r>
            <w:r>
              <w:rPr>
                <w:rFonts w:eastAsia="宋体"/>
                <w:b/>
                <w:sz w:val="24"/>
                <w:szCs w:val="24"/>
              </w:rPr>
              <w:t>分析结果汇总表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07"/>
              <w:gridCol w:w="911"/>
              <w:gridCol w:w="709"/>
              <w:gridCol w:w="850"/>
              <w:gridCol w:w="851"/>
              <w:gridCol w:w="1054"/>
              <w:gridCol w:w="1014"/>
              <w:gridCol w:w="737"/>
              <w:gridCol w:w="738"/>
              <w:gridCol w:w="829"/>
              <w:gridCol w:w="87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w:t>
                  </w:r>
                  <w:r>
                    <w:rPr>
                      <w:rFonts w:hint="eastAsia"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w:t>
                  </w:r>
                  <w:r>
                    <w:rPr>
                      <w:rFonts w:hint="eastAsia" w:eastAsia="宋体"/>
                      <w:sz w:val="21"/>
                      <w:szCs w:val="21"/>
                    </w:rPr>
                    <w:t>分</w:t>
                  </w:r>
                </w:p>
              </w:tc>
              <w:tc>
                <w:tcPr>
                  <w:tcW w:w="101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危险特性鉴别方法</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废物类别</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估算产生量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01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《国家危险废物名录》（2016年）以及危险废物鉴别标准</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T，I</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4"/>
                      <w:szCs w:val="24"/>
                    </w:rPr>
                    <w:t>t/</w:t>
                  </w:r>
                  <w:r>
                    <w:rPr>
                      <w:rFonts w:hint="eastAsia" w:eastAsia="宋体"/>
                      <w:sz w:val="24"/>
                      <w:szCs w:val="24"/>
                    </w:rPr>
                    <w:t>3a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01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8.6</w:t>
                  </w:r>
                  <w:r>
                    <w:rPr>
                      <w:rFonts w:eastAsia="宋体"/>
                      <w:sz w:val="24"/>
                      <w:szCs w:val="24"/>
                    </w:rPr>
                    <w:t xml:space="preserve"> t/a</w:t>
                  </w:r>
                </w:p>
              </w:tc>
            </w:tr>
          </w:tbl>
          <w:p>
            <w:pPr>
              <w:spacing w:line="240" w:lineRule="auto"/>
              <w:rPr>
                <w:rFonts w:eastAsia="宋体"/>
                <w:b/>
                <w:sz w:val="24"/>
                <w:szCs w:val="24"/>
              </w:rPr>
            </w:pPr>
            <w:r>
              <w:rPr>
                <w:rFonts w:hint="eastAsia" w:eastAsia="宋体"/>
                <w:sz w:val="21"/>
                <w:szCs w:val="21"/>
              </w:rPr>
              <w:t>*注：属性指</w:t>
            </w:r>
            <w:r>
              <w:rPr>
                <w:rFonts w:eastAsia="宋体"/>
                <w:sz w:val="21"/>
                <w:szCs w:val="21"/>
              </w:rPr>
              <w:t>危险废物、一般工业固体废物或待鉴别</w:t>
            </w:r>
            <w:r>
              <w:rPr>
                <w:rFonts w:hint="eastAsia" w:eastAsia="宋体"/>
                <w:sz w:val="21"/>
                <w:szCs w:val="21"/>
              </w:rPr>
              <w:t>。</w:t>
            </w:r>
          </w:p>
          <w:p>
            <w:pPr>
              <w:spacing w:line="500" w:lineRule="exact"/>
              <w:jc w:val="center"/>
              <w:rPr>
                <w:rFonts w:eastAsia="宋体"/>
                <w:b/>
                <w:sz w:val="24"/>
                <w:szCs w:val="24"/>
              </w:rPr>
            </w:pPr>
            <w:r>
              <w:rPr>
                <w:rFonts w:eastAsia="宋体"/>
                <w:b/>
                <w:sz w:val="24"/>
                <w:szCs w:val="24"/>
              </w:rPr>
              <w:t>表5-</w:t>
            </w:r>
            <w:r>
              <w:rPr>
                <w:rFonts w:hint="eastAsia" w:eastAsia="宋体"/>
                <w:b/>
                <w:sz w:val="24"/>
                <w:szCs w:val="24"/>
              </w:rPr>
              <w:t>7</w:t>
            </w:r>
            <w:r>
              <w:rPr>
                <w:rFonts w:eastAsia="宋体"/>
                <w:b/>
                <w:sz w:val="24"/>
                <w:szCs w:val="24"/>
              </w:rPr>
              <w:t xml:space="preserve">  项目危险废物汇总表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8"/>
              <w:gridCol w:w="851"/>
              <w:gridCol w:w="1134"/>
              <w:gridCol w:w="764"/>
              <w:gridCol w:w="757"/>
              <w:gridCol w:w="542"/>
              <w:gridCol w:w="932"/>
              <w:gridCol w:w="827"/>
              <w:gridCol w:w="677"/>
              <w:gridCol w:w="662"/>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危险废物名称</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危险废物类别</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危险废物代码</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产生工序及装置</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有害成分</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产废周期</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w:t>
                  </w:r>
                  <w:r>
                    <w:rPr>
                      <w:rFonts w:hint="eastAsia" w:eastAsia="宋体"/>
                      <w:sz w:val="21"/>
                      <w:szCs w:val="21"/>
                    </w:rPr>
                    <w:t>0</w:t>
                  </w:r>
                  <w:r>
                    <w:rPr>
                      <w:rFonts w:eastAsia="宋体"/>
                      <w:sz w:val="21"/>
                      <w:szCs w:val="21"/>
                    </w:rPr>
                    <w:t>-2</w:t>
                  </w:r>
                  <w:r>
                    <w:rPr>
                      <w:rFonts w:hint="eastAsia" w:eastAsia="宋体"/>
                      <w:sz w:val="21"/>
                      <w:szCs w:val="21"/>
                    </w:rPr>
                    <w:t>49</w:t>
                  </w:r>
                  <w:r>
                    <w:rPr>
                      <w:rFonts w:eastAsia="宋体"/>
                      <w:sz w:val="21"/>
                      <w:szCs w:val="21"/>
                    </w:rPr>
                    <w:t>-08</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w:t>
                  </w:r>
                  <w:r>
                    <w:rPr>
                      <w:rFonts w:eastAsia="宋体"/>
                      <w:sz w:val="21"/>
                      <w:szCs w:val="21"/>
                    </w:rPr>
                    <w:t>a</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废矿物油等</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3a</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T、I</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有资质单位安全处置</w:t>
                  </w:r>
                </w:p>
              </w:tc>
            </w:tr>
          </w:tbl>
          <w:p>
            <w:pPr>
              <w:spacing w:line="500" w:lineRule="exact"/>
              <w:rPr>
                <w:rFonts w:eastAsia="宋体"/>
                <w:szCs w:val="28"/>
              </w:rPr>
            </w:pPr>
          </w:p>
        </w:tc>
      </w:tr>
    </w:tbl>
    <w:p>
      <w:pPr>
        <w:outlineLvl w:val="0"/>
        <w:rPr>
          <w:rFonts w:eastAsia="宋体"/>
          <w:b/>
          <w:szCs w:val="28"/>
        </w:rPr>
      </w:pPr>
      <w:r>
        <w:rPr>
          <w:rFonts w:eastAsia="宋体"/>
          <w:b/>
          <w:szCs w:val="28"/>
        </w:rPr>
        <w:t>六、项目主要污染物产生及预计排放情况</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16"/>
        <w:gridCol w:w="965"/>
        <w:gridCol w:w="855"/>
        <w:gridCol w:w="906"/>
        <w:gridCol w:w="946"/>
        <w:gridCol w:w="1138"/>
        <w:gridCol w:w="991"/>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（编号）</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产生浓度mg/m</w:t>
            </w:r>
            <w:r>
              <w:rPr>
                <w:rFonts w:eastAsia="宋体"/>
                <w:sz w:val="21"/>
                <w:szCs w:val="21"/>
                <w:vertAlign w:val="superscript"/>
              </w:rPr>
              <w:t>3</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排放浓度mg/m</w:t>
            </w:r>
            <w:r>
              <w:rPr>
                <w:rFonts w:eastAsia="宋体"/>
                <w:sz w:val="21"/>
                <w:szCs w:val="21"/>
                <w:vertAlign w:val="superscript"/>
              </w:rPr>
              <w:t>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排放速率kg/h</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大气污染物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卸油、储罐、加油机等</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非甲烷总烃</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10.4966</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0.0663</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0.3946</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车辆尾气</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CO、THC、</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NOx</w:t>
            </w:r>
          </w:p>
        </w:tc>
        <w:tc>
          <w:tcPr>
            <w:tcW w:w="176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3075"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水污染物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废水类型</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m</w:t>
            </w:r>
            <w:r>
              <w:rPr>
                <w:rFonts w:eastAsia="宋体"/>
                <w:sz w:val="21"/>
                <w:szCs w:val="21"/>
                <w:vertAlign w:val="superscript"/>
              </w:rPr>
              <w:t>3</w:t>
            </w:r>
            <w:r>
              <w:rPr>
                <w:rFonts w:eastAsia="宋体"/>
                <w:sz w:val="21"/>
                <w:szCs w:val="21"/>
              </w:rPr>
              <w:t>/a</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bookmarkStart w:id="1" w:name="OLE_LINK8" w:colFirst="2" w:colLast="8"/>
            <w:bookmarkStart w:id="2" w:name="OLE_LINK9" w:colFirst="2" w:colLast="8"/>
            <w:bookmarkStart w:id="3" w:name="_Hlk246836469"/>
          </w:p>
        </w:tc>
        <w:tc>
          <w:tcPr>
            <w:tcW w:w="1016"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85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686.4</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0.24</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0.21</w:t>
            </w:r>
          </w:p>
        </w:tc>
        <w:tc>
          <w:tcPr>
            <w:tcW w:w="1544"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经化粪池处理后排入沭阳县城东污水处理厂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250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0.17</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200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0.14</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0.021</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25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0.017</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0.0021</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3</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0.0021</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0.034</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45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0.031</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bookmarkEnd w:id="1"/>
      <w:bookmarkEnd w:id="2"/>
      <w:bookmarkEnd w:id="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处理处置量</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综合利用</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量t/a</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外排量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w:t>
            </w:r>
            <w:r>
              <w:rPr>
                <w:rFonts w:eastAsia="宋体"/>
                <w:sz w:val="21"/>
                <w:szCs w:val="21"/>
              </w:rPr>
              <w: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委托</w:t>
            </w:r>
            <w:r>
              <w:rPr>
                <w:rFonts w:hint="eastAsia" w:eastAsia="宋体"/>
                <w:sz w:val="21"/>
                <w:szCs w:val="21"/>
              </w:rPr>
              <w:t>有资质单位</w:t>
            </w:r>
            <w:r>
              <w:rPr>
                <w:rFonts w:eastAsia="宋体"/>
                <w:sz w:val="21"/>
                <w:szCs w:val="21"/>
              </w:rPr>
              <w:t>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8.6</w:t>
            </w:r>
            <w:r>
              <w:rPr>
                <w:rFonts w:eastAsia="宋体"/>
                <w:sz w:val="21"/>
                <w:szCs w:val="21"/>
              </w:rPr>
              <w:t>t/a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8.6</w:t>
            </w: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交由环卫部门</w:t>
            </w:r>
            <w:r>
              <w:rPr>
                <w:rFonts w:hint="eastAsia" w:eastAsia="宋体"/>
                <w:sz w:val="21"/>
                <w:szCs w:val="21"/>
              </w:rPr>
              <w:t>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75" w:type="dxa"/>
            <w:tcMar>
              <w:left w:w="28" w:type="dxa"/>
              <w:right w:w="28" w:type="dxa"/>
            </w:tcMar>
            <w:vAlign w:val="center"/>
          </w:tcPr>
          <w:p>
            <w:pPr>
              <w:pStyle w:val="17"/>
              <w:jc w:val="center"/>
              <w:rPr>
                <w:rFonts w:eastAsia="宋体"/>
                <w:sz w:val="21"/>
                <w:szCs w:val="21"/>
              </w:rPr>
            </w:pPr>
            <w:r>
              <w:rPr>
                <w:rFonts w:eastAsia="宋体"/>
                <w:sz w:val="21"/>
                <w:szCs w:val="21"/>
              </w:rPr>
              <w:t>噪声</w:t>
            </w:r>
          </w:p>
        </w:tc>
        <w:tc>
          <w:tcPr>
            <w:tcW w:w="8361" w:type="dxa"/>
            <w:gridSpan w:val="8"/>
            <w:tcMar>
              <w:left w:w="28" w:type="dxa"/>
              <w:right w:w="28" w:type="dxa"/>
            </w:tcMar>
            <w:vAlign w:val="center"/>
          </w:tcPr>
          <w:p>
            <w:pPr>
              <w:pStyle w:val="17"/>
              <w:ind w:firstLine="420" w:firstLineChars="200"/>
              <w:rPr>
                <w:rFonts w:eastAsia="宋体"/>
                <w:sz w:val="21"/>
                <w:szCs w:val="21"/>
              </w:rPr>
            </w:pPr>
            <w:r>
              <w:rPr>
                <w:rFonts w:hint="eastAsia" w:eastAsia="宋体"/>
                <w:sz w:val="21"/>
                <w:szCs w:val="21"/>
              </w:rPr>
              <w:t>本项目投入使用后，产生的噪声源主要来自于加油机、各种泵体工作时产生的噪声以及来往车辆噪声，其噪声在60-75dB</w:t>
            </w:r>
            <w:r>
              <w:rPr>
                <w:rFonts w:eastAsia="宋体"/>
                <w:sz w:val="21"/>
                <w:szCs w:val="21"/>
              </w:rPr>
              <w:t>。经采取措施后，项目厂界噪声可以满足《工业企业厂界环境噪声排放标准》（GB12348-2008）中</w:t>
            </w:r>
            <w:r>
              <w:rPr>
                <w:rFonts w:hint="eastAsia" w:eastAsia="宋体"/>
                <w:sz w:val="21"/>
                <w:szCs w:val="21"/>
              </w:rPr>
              <w:t>2</w:t>
            </w:r>
            <w:r>
              <w:rPr>
                <w:rFonts w:eastAsia="宋体"/>
                <w:sz w:val="21"/>
                <w:szCs w:val="21"/>
              </w:rPr>
              <w:t>类标准限值，即昼间≤</w:t>
            </w:r>
            <w:r>
              <w:rPr>
                <w:rFonts w:hint="eastAsia" w:eastAsia="宋体"/>
                <w:sz w:val="21"/>
                <w:szCs w:val="21"/>
              </w:rPr>
              <w:t>60</w:t>
            </w:r>
            <w:r>
              <w:rPr>
                <w:rFonts w:eastAsia="宋体"/>
                <w:sz w:val="21"/>
                <w:szCs w:val="21"/>
              </w:rPr>
              <w:t>dB(A)、夜间≤</w:t>
            </w:r>
            <w:r>
              <w:rPr>
                <w:rFonts w:hint="eastAsia" w:eastAsia="宋体"/>
                <w:sz w:val="21"/>
                <w:szCs w:val="21"/>
              </w:rPr>
              <w:t>50</w:t>
            </w:r>
            <w:r>
              <w:rPr>
                <w:rFonts w:eastAsia="宋体"/>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8936" w:type="dxa"/>
            <w:gridSpan w:val="9"/>
            <w:tcMar>
              <w:left w:w="28" w:type="dxa"/>
              <w:right w:w="28" w:type="dxa"/>
            </w:tcMar>
          </w:tcPr>
          <w:p>
            <w:pPr>
              <w:jc w:val="both"/>
              <w:rPr>
                <w:rFonts w:eastAsia="宋体"/>
                <w:sz w:val="21"/>
                <w:szCs w:val="21"/>
              </w:rPr>
            </w:pPr>
            <w:r>
              <w:rPr>
                <w:rFonts w:eastAsia="宋体"/>
                <w:sz w:val="21"/>
                <w:szCs w:val="21"/>
              </w:rPr>
              <w:t>主要生态影响</w:t>
            </w:r>
            <w:r>
              <w:rPr>
                <w:rFonts w:hint="eastAsia" w:eastAsia="宋体"/>
                <w:sz w:val="21"/>
                <w:szCs w:val="21"/>
              </w:rPr>
              <w:t>：</w:t>
            </w:r>
          </w:p>
          <w:p>
            <w:pPr>
              <w:pStyle w:val="17"/>
              <w:ind w:firstLine="420" w:firstLineChars="200"/>
              <w:rPr>
                <w:rFonts w:eastAsia="宋体"/>
                <w:sz w:val="21"/>
                <w:szCs w:val="21"/>
              </w:rPr>
            </w:pPr>
            <w:r>
              <w:rPr>
                <w:rFonts w:hint="eastAsia" w:eastAsia="宋体"/>
                <w:sz w:val="21"/>
                <w:szCs w:val="21"/>
              </w:rPr>
              <w:t>区域为城市建成区，周边无重点保护的野生动植物、风景名胜区、自然保护区及文化遗产等敏感目标，生态系统主要以人工绿化为主。目前，项目施工期已结束，未对周边生态环境造成影响。本项目进行了合理平面布局及绿化，营运期对周围的生态环境不会产生明显影响。</w:t>
            </w:r>
          </w:p>
          <w:p>
            <w:pPr>
              <w:spacing w:line="320" w:lineRule="exact"/>
              <w:ind w:firstLine="420" w:firstLineChars="200"/>
              <w:jc w:val="both"/>
              <w:rPr>
                <w:rFonts w:eastAsia="宋体"/>
                <w:sz w:val="21"/>
                <w:szCs w:val="21"/>
              </w:rPr>
            </w:pPr>
          </w:p>
        </w:tc>
      </w:tr>
    </w:tbl>
    <w:p>
      <w:pPr>
        <w:rPr>
          <w:rFonts w:eastAsia="宋体"/>
          <w:b/>
          <w:szCs w:val="28"/>
        </w:rPr>
        <w:sectPr>
          <w:pgSz w:w="11907" w:h="16840"/>
          <w:pgMar w:top="1418" w:right="1418" w:bottom="1418" w:left="1418" w:header="851" w:footer="992" w:gutter="0"/>
          <w:cols w:space="720" w:num="1"/>
          <w:docGrid w:linePitch="387" w:charSpace="-5735"/>
        </w:sectPr>
      </w:pPr>
    </w:p>
    <w:p>
      <w:pPr>
        <w:outlineLvl w:val="0"/>
        <w:rPr>
          <w:rFonts w:eastAsia="宋体"/>
          <w:b/>
        </w:rPr>
      </w:pPr>
      <w:r>
        <w:rPr>
          <w:rFonts w:eastAsia="宋体"/>
          <w:b/>
        </w:rPr>
        <w:t>七、环境影响分析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286" w:type="dxa"/>
          </w:tcPr>
          <w:p>
            <w:pPr>
              <w:widowControl w:val="0"/>
              <w:snapToGrid w:val="0"/>
              <w:jc w:val="both"/>
              <w:rPr>
                <w:rFonts w:eastAsia="宋体"/>
                <w:b/>
                <w:sz w:val="24"/>
                <w:szCs w:val="24"/>
              </w:rPr>
            </w:pPr>
            <w:r>
              <w:rPr>
                <w:rFonts w:hint="eastAsia" w:eastAsia="宋体"/>
                <w:b/>
                <w:sz w:val="24"/>
                <w:szCs w:val="24"/>
              </w:rPr>
              <w:t>7.1</w:t>
            </w:r>
            <w:r>
              <w:rPr>
                <w:rFonts w:eastAsia="宋体"/>
                <w:b/>
                <w:sz w:val="24"/>
                <w:szCs w:val="24"/>
              </w:rPr>
              <w:t>施工期环境影响分析：</w:t>
            </w:r>
          </w:p>
          <w:p>
            <w:pPr>
              <w:widowControl w:val="0"/>
              <w:snapToGrid w:val="0"/>
              <w:ind w:firstLine="480" w:firstLineChars="200"/>
              <w:jc w:val="both"/>
              <w:rPr>
                <w:rFonts w:eastAsia="宋体"/>
                <w:szCs w:val="28"/>
              </w:rPr>
            </w:pPr>
            <w:r>
              <w:rPr>
                <w:rFonts w:hint="eastAsia" w:hAnsi="宋体" w:eastAsia="宋体"/>
                <w:sz w:val="24"/>
                <w:szCs w:val="28"/>
              </w:rPr>
              <w:t>本项目已建成，无施工期影响。</w:t>
            </w:r>
          </w:p>
          <w:p>
            <w:pPr>
              <w:widowControl w:val="0"/>
              <w:snapToGrid w:val="0"/>
              <w:jc w:val="both"/>
              <w:rPr>
                <w:rFonts w:eastAsia="宋体"/>
                <w:b/>
                <w:sz w:val="24"/>
                <w:szCs w:val="24"/>
              </w:rPr>
            </w:pPr>
            <w:r>
              <w:rPr>
                <w:rFonts w:hint="eastAsia" w:eastAsia="宋体"/>
                <w:b/>
                <w:sz w:val="24"/>
                <w:szCs w:val="24"/>
              </w:rPr>
              <w:t>7.2</w:t>
            </w:r>
            <w:r>
              <w:rPr>
                <w:rFonts w:eastAsia="宋体"/>
                <w:b/>
                <w:sz w:val="24"/>
                <w:szCs w:val="24"/>
              </w:rPr>
              <w:t>营运期环境影响分析：</w:t>
            </w:r>
          </w:p>
          <w:p>
            <w:pPr>
              <w:ind w:firstLine="482" w:firstLineChars="200"/>
              <w:rPr>
                <w:rFonts w:eastAsia="宋体"/>
                <w:b/>
                <w:sz w:val="24"/>
                <w:szCs w:val="24"/>
              </w:rPr>
            </w:pPr>
            <w:r>
              <w:rPr>
                <w:rFonts w:hint="eastAsia" w:eastAsia="宋体"/>
                <w:b/>
                <w:sz w:val="24"/>
                <w:szCs w:val="24"/>
              </w:rPr>
              <w:t>7.2.1</w:t>
            </w:r>
            <w:r>
              <w:rPr>
                <w:rFonts w:eastAsia="宋体"/>
                <w:b/>
                <w:sz w:val="24"/>
                <w:szCs w:val="24"/>
              </w:rPr>
              <w:t>大气环境影响分析</w:t>
            </w:r>
          </w:p>
          <w:p>
            <w:pPr>
              <w:ind w:firstLine="480" w:firstLineChars="200"/>
              <w:rPr>
                <w:rFonts w:eastAsia="宋体"/>
                <w:sz w:val="24"/>
                <w:szCs w:val="24"/>
              </w:rPr>
            </w:pPr>
            <w:r>
              <w:rPr>
                <w:rFonts w:hint="eastAsia" w:eastAsia="宋体"/>
                <w:sz w:val="24"/>
                <w:szCs w:val="24"/>
              </w:rPr>
              <w:t>（1）大气环境影响</w:t>
            </w:r>
          </w:p>
          <w:p>
            <w:pPr>
              <w:ind w:firstLine="480" w:firstLineChars="200"/>
              <w:rPr>
                <w:rFonts w:eastAsia="宋体"/>
                <w:sz w:val="24"/>
                <w:szCs w:val="24"/>
              </w:rPr>
            </w:pPr>
            <w:r>
              <w:rPr>
                <w:rFonts w:hint="eastAsia" w:eastAsia="宋体"/>
                <w:sz w:val="24"/>
                <w:szCs w:val="24"/>
              </w:rPr>
              <w:t>按照《环境影响评价技术导则-大气环境》（HJ2.2-2018）评价工作等级划分方法，选择项目污染源正常排放的主要污染物及排放参数，采用附录A推荐模型中估算模型分别计算项目污染源的最大环境影响，再按评价工作分级判据进行分级。</w:t>
            </w:r>
          </w:p>
          <w:p>
            <w:pPr>
              <w:ind w:firstLine="480" w:firstLineChars="200"/>
              <w:rPr>
                <w:rFonts w:eastAsia="宋体"/>
                <w:sz w:val="24"/>
                <w:szCs w:val="24"/>
              </w:rPr>
            </w:pPr>
            <w:r>
              <w:rPr>
                <w:rFonts w:hint="eastAsia" w:eastAsia="宋体"/>
                <w:sz w:val="24"/>
                <w:szCs w:val="24"/>
              </w:rPr>
              <w:t>根据评价项目污染源初步调查结果，选择所有列为评价因子的污染物，分别计算项目排放主要污染物的最大地面浓度占标率Pi（第i个污染物，简称“最大浓度占标率”），及第i个污染物的地面浓度达标准限值10%时所对应的最远距离D10%。</w:t>
            </w:r>
            <w:r>
              <w:rPr>
                <w:rFonts w:eastAsia="宋体"/>
                <w:sz w:val="24"/>
                <w:szCs w:val="24"/>
              </w:rPr>
              <w:t>大气评价工作等级判定表如表7-</w:t>
            </w:r>
            <w:r>
              <w:rPr>
                <w:rFonts w:hint="eastAsia" w:eastAsia="宋体"/>
                <w:sz w:val="24"/>
                <w:szCs w:val="24"/>
              </w:rPr>
              <w:t>1</w:t>
            </w:r>
            <w:r>
              <w:rPr>
                <w:rFonts w:eastAsia="宋体"/>
                <w:sz w:val="24"/>
                <w:szCs w:val="24"/>
              </w:rPr>
              <w:t>所示。</w:t>
            </w:r>
          </w:p>
          <w:p>
            <w:pPr>
              <w:widowControl w:val="0"/>
              <w:spacing w:after="120" w:line="240" w:lineRule="auto"/>
              <w:ind w:firstLine="241" w:firstLineChars="100"/>
              <w:jc w:val="center"/>
              <w:rPr>
                <w:rFonts w:eastAsia="宋体"/>
                <w:b/>
                <w:sz w:val="24"/>
                <w:szCs w:val="24"/>
              </w:rPr>
            </w:pPr>
            <w:bookmarkStart w:id="4" w:name="_Ref413918772"/>
            <w:r>
              <w:rPr>
                <w:rFonts w:eastAsia="宋体"/>
                <w:b/>
                <w:sz w:val="24"/>
                <w:szCs w:val="24"/>
              </w:rPr>
              <w:t>表</w:t>
            </w:r>
            <w:bookmarkEnd w:id="4"/>
            <w:r>
              <w:rPr>
                <w:rFonts w:eastAsia="宋体"/>
                <w:b/>
                <w:sz w:val="24"/>
                <w:szCs w:val="24"/>
              </w:rPr>
              <w:t>7-</w:t>
            </w:r>
            <w:r>
              <w:rPr>
                <w:rFonts w:hint="eastAsia" w:eastAsia="宋体"/>
                <w:b/>
                <w:sz w:val="24"/>
                <w:szCs w:val="24"/>
              </w:rPr>
              <w:t>1</w:t>
            </w:r>
            <w:r>
              <w:rPr>
                <w:rFonts w:eastAsia="宋体"/>
                <w:b/>
                <w:sz w:val="24"/>
                <w:szCs w:val="24"/>
              </w:rPr>
              <w:t>大气环境评价工作等级判别表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63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评价工作等级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bCs/>
                      <w:sz w:val="21"/>
                      <w:szCs w:val="21"/>
                    </w:rPr>
                  </w:pPr>
                  <w:r>
                    <w:rPr>
                      <w:rFonts w:eastAsia="宋体"/>
                      <w:bCs/>
                      <w:sz w:val="21"/>
                      <w:szCs w:val="21"/>
                    </w:rPr>
                    <w:t>一级</w:t>
                  </w:r>
                </w:p>
              </w:tc>
              <w:tc>
                <w:tcPr>
                  <w:tcW w:w="3485" w:type="pct"/>
                </w:tcPr>
                <w:p>
                  <w:pPr>
                    <w:widowControl w:val="0"/>
                    <w:adjustRightInd w:val="0"/>
                    <w:snapToGrid w:val="0"/>
                    <w:spacing w:line="240" w:lineRule="auto"/>
                    <w:jc w:val="center"/>
                    <w:rPr>
                      <w:rFonts w:eastAsia="宋体"/>
                      <w:bCs/>
                      <w:sz w:val="21"/>
                      <w:szCs w:val="21"/>
                    </w:rPr>
                  </w:pPr>
                  <w:r>
                    <w:rPr>
                      <w:rFonts w:eastAsia="宋体"/>
                      <w:bCs/>
                      <w:sz w:val="21"/>
                      <w:szCs w:val="21"/>
                    </w:rPr>
                    <w:t>P</w:t>
                  </w:r>
                  <w:r>
                    <w:rPr>
                      <w:rFonts w:eastAsia="宋体"/>
                      <w:bCs/>
                      <w:sz w:val="21"/>
                      <w:szCs w:val="21"/>
                      <w:vertAlign w:val="subscript"/>
                    </w:rPr>
                    <w:t>max</w:t>
                  </w:r>
                  <w:r>
                    <w:rPr>
                      <w:rFonts w:eastAsia="宋体"/>
                      <w:bCs/>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二级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1%≤P</w:t>
                  </w:r>
                  <w:r>
                    <w:rPr>
                      <w:rFonts w:eastAsia="宋体"/>
                      <w:sz w:val="21"/>
                      <w:szCs w:val="21"/>
                      <w:vertAlign w:val="subscript"/>
                    </w:rPr>
                    <w:t>max</w:t>
                  </w:r>
                  <w:r>
                    <w:rPr>
                      <w:rFonts w:eastAsia="宋体"/>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三级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P</w:t>
                  </w:r>
                  <w:r>
                    <w:rPr>
                      <w:rFonts w:eastAsia="宋体"/>
                      <w:sz w:val="21"/>
                      <w:szCs w:val="21"/>
                      <w:vertAlign w:val="subscript"/>
                    </w:rPr>
                    <w:t>max</w:t>
                  </w:r>
                  <w:r>
                    <w:rPr>
                      <w:rFonts w:eastAsia="宋体"/>
                      <w:sz w:val="21"/>
                      <w:szCs w:val="21"/>
                    </w:rPr>
                    <w:t>＜1%</w:t>
                  </w:r>
                </w:p>
              </w:tc>
            </w:tr>
          </w:tbl>
          <w:p>
            <w:pPr>
              <w:ind w:firstLine="480" w:firstLineChars="200"/>
              <w:rPr>
                <w:rFonts w:eastAsia="宋体"/>
                <w:sz w:val="24"/>
                <w:szCs w:val="24"/>
              </w:rPr>
            </w:pPr>
            <w:r>
              <w:rPr>
                <w:rFonts w:eastAsia="宋体"/>
                <w:sz w:val="24"/>
                <w:szCs w:val="24"/>
              </w:rPr>
              <w:t>通过对项目工艺流程的分析可得出，本工程废气源及污染物主要是接卸油、存储及给汽车油箱加油等过程排放的无组织非甲烷总烃</w:t>
            </w:r>
            <w:r>
              <w:rPr>
                <w:rFonts w:hint="eastAsia" w:eastAsia="宋体"/>
                <w:sz w:val="24"/>
                <w:szCs w:val="24"/>
              </w:rPr>
              <w:t>，</w:t>
            </w:r>
            <w:r>
              <w:rPr>
                <w:rFonts w:eastAsia="宋体"/>
                <w:sz w:val="24"/>
                <w:szCs w:val="24"/>
              </w:rPr>
              <w:t>评价因子和评价标准</w:t>
            </w:r>
            <w:r>
              <w:rPr>
                <w:rFonts w:hint="eastAsia" w:eastAsia="宋体"/>
                <w:sz w:val="24"/>
                <w:szCs w:val="24"/>
              </w:rPr>
              <w:t>见表7-2</w:t>
            </w:r>
            <w:r>
              <w:rPr>
                <w:rFonts w:eastAsia="宋体"/>
                <w:sz w:val="24"/>
                <w:szCs w:val="24"/>
              </w:rPr>
              <w:t>。</w:t>
            </w:r>
            <w:r>
              <w:rPr>
                <w:rFonts w:hint="eastAsia" w:eastAsia="宋体"/>
                <w:sz w:val="24"/>
                <w:szCs w:val="24"/>
              </w:rPr>
              <w:t>根据导则，采用AerScreen估算模型进行计算，估算模型参数见下表7-3。</w:t>
            </w:r>
          </w:p>
          <w:p>
            <w:pPr>
              <w:widowControl w:val="0"/>
              <w:spacing w:after="120" w:line="240" w:lineRule="auto"/>
              <w:ind w:firstLine="241" w:firstLineChars="100"/>
              <w:jc w:val="center"/>
              <w:rPr>
                <w:rFonts w:eastAsia="宋体"/>
                <w:b/>
                <w:sz w:val="24"/>
                <w:szCs w:val="24"/>
              </w:rPr>
            </w:pPr>
            <w:bookmarkStart w:id="5" w:name="_Ref488155507"/>
            <w:r>
              <w:rPr>
                <w:rFonts w:eastAsia="宋体"/>
                <w:b/>
                <w:sz w:val="24"/>
                <w:szCs w:val="24"/>
              </w:rPr>
              <w:t>表</w:t>
            </w:r>
            <w:bookmarkEnd w:id="5"/>
            <w:r>
              <w:rPr>
                <w:rFonts w:eastAsia="宋体"/>
                <w:b/>
                <w:sz w:val="24"/>
                <w:szCs w:val="24"/>
              </w:rPr>
              <w:t>7-</w:t>
            </w:r>
            <w:r>
              <w:rPr>
                <w:rFonts w:hint="eastAsia" w:eastAsia="宋体"/>
                <w:b/>
                <w:sz w:val="24"/>
                <w:szCs w:val="24"/>
              </w:rPr>
              <w:t>2</w:t>
            </w:r>
            <w:r>
              <w:rPr>
                <w:rFonts w:eastAsia="宋体"/>
                <w:b/>
                <w:sz w:val="24"/>
                <w:szCs w:val="24"/>
              </w:rPr>
              <w:t>评价因子和评价标准表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05"/>
              <w:gridCol w:w="1702"/>
              <w:gridCol w:w="4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7"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评价因子</w:t>
                  </w:r>
                </w:p>
              </w:tc>
              <w:tc>
                <w:tcPr>
                  <w:tcW w:w="995"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平均时段</w:t>
                  </w:r>
                </w:p>
              </w:tc>
              <w:tc>
                <w:tcPr>
                  <w:tcW w:w="938"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标准值/（μg/m</w:t>
                  </w:r>
                  <w:r>
                    <w:rPr>
                      <w:rFonts w:eastAsia="宋体"/>
                      <w:sz w:val="21"/>
                      <w:szCs w:val="21"/>
                      <w:vertAlign w:val="superscript"/>
                    </w:rPr>
                    <w:t>3</w:t>
                  </w:r>
                  <w:r>
                    <w:rPr>
                      <w:rFonts w:eastAsia="宋体"/>
                      <w:sz w:val="21"/>
                      <w:szCs w:val="21"/>
                    </w:rPr>
                    <w:t>）</w:t>
                  </w:r>
                </w:p>
              </w:tc>
              <w:tc>
                <w:tcPr>
                  <w:tcW w:w="23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37"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995"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小时平均</w:t>
                  </w:r>
                </w:p>
              </w:tc>
              <w:tc>
                <w:tcPr>
                  <w:tcW w:w="938"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w:t>
                  </w:r>
                  <w:r>
                    <w:rPr>
                      <w:rFonts w:eastAsia="宋体"/>
                      <w:sz w:val="21"/>
                      <w:szCs w:val="21"/>
                    </w:rPr>
                    <w:t>00</w:t>
                  </w:r>
                </w:p>
              </w:tc>
              <w:tc>
                <w:tcPr>
                  <w:tcW w:w="2330"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《大气污染物综合排放标准详解》中第244页的说明</w:t>
                  </w:r>
                </w:p>
              </w:tc>
            </w:tr>
          </w:tbl>
          <w:p>
            <w:pPr>
              <w:widowControl w:val="0"/>
              <w:spacing w:after="120" w:line="240" w:lineRule="auto"/>
              <w:ind w:firstLine="241" w:firstLineChars="100"/>
              <w:jc w:val="center"/>
              <w:rPr>
                <w:rFonts w:eastAsia="宋体"/>
                <w:b/>
                <w:sz w:val="24"/>
                <w:szCs w:val="24"/>
              </w:rPr>
            </w:pPr>
            <w:r>
              <w:rPr>
                <w:rFonts w:eastAsia="宋体"/>
                <w:b/>
                <w:sz w:val="24"/>
                <w:szCs w:val="24"/>
              </w:rPr>
              <w:t>表7-</w:t>
            </w:r>
            <w:r>
              <w:rPr>
                <w:rFonts w:hint="eastAsia" w:eastAsia="宋体"/>
                <w:b/>
                <w:sz w:val="24"/>
                <w:szCs w:val="24"/>
              </w:rPr>
              <w:t>3</w:t>
            </w:r>
            <w:r>
              <w:rPr>
                <w:rFonts w:eastAsia="宋体"/>
                <w:b/>
                <w:sz w:val="24"/>
                <w:szCs w:val="24"/>
              </w:rPr>
              <w:t>估算模型参数表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3"/>
              <w:gridCol w:w="3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参数</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城市/农村选项</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城市/农村</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人口数（城市选项时）</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最高环境温度/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38.5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最低环境温度/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-16.5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土地利用类型</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区域湿度条件</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中等湿度气候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是否考虑地形</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考虑地形</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地形数据分辨率/m</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是否考虑岸线熏烟</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考虑岸线熏烟</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岸线距离/km</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岸线方向/°</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bl>
          <w:p>
            <w:pPr>
              <w:ind w:firstLine="480" w:firstLineChars="200"/>
              <w:rPr>
                <w:rFonts w:eastAsia="宋体"/>
                <w:sz w:val="24"/>
                <w:szCs w:val="24"/>
              </w:rPr>
            </w:pPr>
            <w:r>
              <w:rPr>
                <w:rFonts w:hint="eastAsia" w:eastAsia="宋体"/>
                <w:sz w:val="24"/>
                <w:szCs w:val="24"/>
              </w:rPr>
              <w:t>本加油站采用地埋式储油罐，由于该罐密闭性较好，顶部有0.8m的覆土，周围回填的沙子和细土厚度为1.0m，因此储油罐罐室内气温比较稳定，受大气环境稳定影响较小，可减少油罐小呼吸蒸发损耗，延缓油品变质。为减少加油机作业时由于跑冒滴漏造成的非甲烷总烃损失，评价要求加油站加强操作人员的业务培训和学习，严格按照行业操作规程作业，从管理和作业上最大限度地减少排污量。</w:t>
            </w:r>
            <w:r>
              <w:rPr>
                <w:rFonts w:eastAsia="宋体"/>
                <w:sz w:val="24"/>
                <w:szCs w:val="24"/>
              </w:rPr>
              <w:t>本项目</w:t>
            </w:r>
            <w:r>
              <w:rPr>
                <w:rFonts w:hint="eastAsia" w:eastAsia="宋体"/>
                <w:sz w:val="24"/>
                <w:szCs w:val="24"/>
              </w:rPr>
              <w:t>已</w:t>
            </w:r>
            <w:r>
              <w:rPr>
                <w:rFonts w:eastAsia="宋体"/>
                <w:sz w:val="24"/>
                <w:szCs w:val="24"/>
              </w:rPr>
              <w:t>设置</w:t>
            </w:r>
            <w:r>
              <w:rPr>
                <w:rFonts w:hint="eastAsia" w:eastAsia="宋体"/>
                <w:sz w:val="24"/>
                <w:szCs w:val="24"/>
              </w:rPr>
              <w:t>二级</w:t>
            </w:r>
            <w:r>
              <w:rPr>
                <w:rFonts w:eastAsia="宋体"/>
                <w:sz w:val="24"/>
                <w:szCs w:val="24"/>
              </w:rPr>
              <w:t>油气回收系统进行油气回收</w:t>
            </w:r>
            <w:r>
              <w:rPr>
                <w:rFonts w:hint="eastAsia" w:eastAsia="宋体"/>
                <w:sz w:val="24"/>
                <w:szCs w:val="24"/>
              </w:rPr>
              <w:t>。</w:t>
            </w:r>
          </w:p>
          <w:p>
            <w:pPr>
              <w:ind w:firstLine="480" w:firstLineChars="200"/>
              <w:rPr>
                <w:rFonts w:eastAsia="宋体"/>
                <w:sz w:val="24"/>
                <w:szCs w:val="24"/>
              </w:rPr>
            </w:pPr>
            <w:r>
              <w:rPr>
                <w:rFonts w:hint="eastAsia" w:eastAsia="宋体"/>
                <w:sz w:val="24"/>
                <w:szCs w:val="24"/>
              </w:rPr>
              <w:t>根据工程分析，项目建设后无组织排入大气的挥发烃类有机污染物的年排放量合计为0.3946</w:t>
            </w:r>
            <w:r>
              <w:rPr>
                <w:rFonts w:eastAsia="宋体"/>
                <w:sz w:val="24"/>
                <w:szCs w:val="24"/>
              </w:rPr>
              <w:t>t/a</w:t>
            </w:r>
            <w:r>
              <w:rPr>
                <w:rFonts w:hint="eastAsia" w:eastAsia="宋体"/>
                <w:sz w:val="24"/>
                <w:szCs w:val="24"/>
              </w:rPr>
              <w:t>。</w:t>
            </w:r>
          </w:p>
          <w:p>
            <w:pPr>
              <w:ind w:firstLine="480" w:firstLineChars="200"/>
            </w:pPr>
            <w:r>
              <w:rPr>
                <w:rFonts w:hint="eastAsia" w:eastAsia="宋体"/>
                <w:sz w:val="24"/>
                <w:szCs w:val="24"/>
              </w:rPr>
              <w:t>对于大呼吸损失，本环评将油罐区（含卸油区）作为无组织面源，面源高度按作业面高度4.5m计；对于加油零售损失油气，本环评将加油区罩棚所围合的区域作为无组织面源，面源高度按罩棚最低高度6m计。根据《环境影响评价技术导则-大气环境》（HJ2.2-2018），对于项目废气排放对周围环境的影响情况，采用AerScreen估算模型进行估算预测。本项目废气源强及排放参数见表7-4，估算模型计算结果见表7-5。</w:t>
            </w:r>
          </w:p>
          <w:p>
            <w:pPr>
              <w:widowControl w:val="0"/>
              <w:spacing w:after="120" w:line="240" w:lineRule="auto"/>
              <w:ind w:firstLine="241" w:firstLineChars="100"/>
              <w:jc w:val="center"/>
              <w:rPr>
                <w:rFonts w:eastAsia="宋体"/>
                <w:b/>
                <w:sz w:val="24"/>
                <w:szCs w:val="24"/>
              </w:rPr>
            </w:pPr>
            <w:r>
              <w:rPr>
                <w:rFonts w:hint="eastAsia" w:eastAsia="宋体"/>
                <w:b/>
                <w:sz w:val="24"/>
                <w:szCs w:val="24"/>
              </w:rPr>
              <w:t>表</w:t>
            </w:r>
            <w:r>
              <w:rPr>
                <w:rFonts w:eastAsia="宋体"/>
                <w:b/>
                <w:sz w:val="24"/>
                <w:szCs w:val="24"/>
              </w:rPr>
              <w:t>7-</w:t>
            </w:r>
            <w:r>
              <w:rPr>
                <w:rFonts w:hint="eastAsia" w:eastAsia="宋体"/>
                <w:b/>
                <w:sz w:val="24"/>
                <w:szCs w:val="24"/>
              </w:rPr>
              <w:t>4大气污染物源强及排放参数</w:t>
            </w:r>
          </w:p>
          <w:tbl>
            <w:tblPr>
              <w:tblStyle w:val="28"/>
              <w:tblpPr w:leftFromText="180" w:rightFromText="180" w:vertAnchor="text" w:horzAnchor="margin" w:tblpY="4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53"/>
              <w:gridCol w:w="1620"/>
              <w:gridCol w:w="2494"/>
              <w:gridCol w:w="18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废气来源</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162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工作时长（h/a）</w:t>
                  </w:r>
                </w:p>
              </w:tc>
              <w:tc>
                <w:tcPr>
                  <w:tcW w:w="24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排放源参数（长×宽×高）</w:t>
                  </w:r>
                </w:p>
              </w:tc>
              <w:tc>
                <w:tcPr>
                  <w:tcW w:w="181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最大</w:t>
                  </w:r>
                  <w:r>
                    <w:rPr>
                      <w:rFonts w:eastAsia="宋体"/>
                      <w:sz w:val="21"/>
                      <w:szCs w:val="21"/>
                    </w:rPr>
                    <w:t>排放源强（kg/h）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卸油废气</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6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1095</w:t>
                  </w:r>
                </w:p>
              </w:tc>
              <w:tc>
                <w:tcPr>
                  <w:tcW w:w="24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25m*20m*4.5m</w:t>
                  </w:r>
                </w:p>
              </w:tc>
              <w:tc>
                <w:tcPr>
                  <w:tcW w:w="181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加油废气</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6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7300</w:t>
                  </w:r>
                </w:p>
              </w:tc>
              <w:tc>
                <w:tcPr>
                  <w:tcW w:w="24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25m*20m*6m</w:t>
                  </w:r>
                </w:p>
              </w:tc>
              <w:tc>
                <w:tcPr>
                  <w:tcW w:w="181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0.0523</w:t>
                  </w:r>
                </w:p>
              </w:tc>
            </w:tr>
          </w:tbl>
          <w:p>
            <w:pPr>
              <w:widowControl w:val="0"/>
              <w:spacing w:after="120" w:line="240" w:lineRule="auto"/>
              <w:ind w:firstLine="241" w:firstLineChars="100"/>
              <w:jc w:val="center"/>
              <w:rPr>
                <w:rFonts w:eastAsia="宋体"/>
                <w:b/>
                <w:sz w:val="24"/>
                <w:szCs w:val="24"/>
              </w:rPr>
            </w:pPr>
            <w:r>
              <w:rPr>
                <w:rFonts w:hint="eastAsia" w:eastAsia="宋体"/>
                <w:b/>
                <w:sz w:val="24"/>
                <w:szCs w:val="24"/>
              </w:rPr>
              <w:t>表</w:t>
            </w:r>
            <w:r>
              <w:rPr>
                <w:rFonts w:eastAsia="宋体"/>
                <w:b/>
                <w:sz w:val="24"/>
                <w:szCs w:val="24"/>
              </w:rPr>
              <w:t>7-</w:t>
            </w:r>
            <w:r>
              <w:rPr>
                <w:rFonts w:hint="eastAsia" w:eastAsia="宋体"/>
                <w:b/>
                <w:sz w:val="24"/>
                <w:szCs w:val="24"/>
              </w:rPr>
              <w:t>5废气影响估算模型计算结果</w:t>
            </w:r>
          </w:p>
          <w:tbl>
            <w:tblPr>
              <w:tblStyle w:val="28"/>
              <w:tblpPr w:leftFromText="180" w:rightFromText="180" w:vertAnchor="text" w:horzAnchor="margin" w:tblpY="4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1276"/>
              <w:gridCol w:w="2126"/>
              <w:gridCol w:w="1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下风向距离/m</w:t>
                  </w:r>
                </w:p>
              </w:tc>
              <w:tc>
                <w:tcPr>
                  <w:tcW w:w="3402"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卸油废气</w:t>
                  </w:r>
                </w:p>
              </w:tc>
              <w:tc>
                <w:tcPr>
                  <w:tcW w:w="325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3402"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325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预测落地浓度/mg/m</w:t>
                  </w:r>
                  <w:r>
                    <w:rPr>
                      <w:rFonts w:hint="eastAsia" w:eastAsia="宋体"/>
                      <w:sz w:val="21"/>
                      <w:szCs w:val="21"/>
                      <w:vertAlign w:val="superscript"/>
                    </w:rPr>
                    <w:t>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占标率/%</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预测落地浓度/mg/m</w:t>
                  </w:r>
                  <w:r>
                    <w:rPr>
                      <w:rFonts w:hint="eastAsia" w:eastAsia="宋体"/>
                      <w:sz w:val="21"/>
                      <w:szCs w:val="21"/>
                      <w:vertAlign w:val="superscript"/>
                    </w:rPr>
                    <w:t>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4.11E-02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1.06E-01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4.43E-02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1.19E-01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2.84E-02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8.54E-02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1.09E-02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0.54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3.59E-02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6.10E-03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0.31</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2.05E-02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4.06E-03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1.38E-02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2.97E-03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1.01E-02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2.30E-03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7.83E-03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1.85E-03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6.32E-03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1.54E-03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0.08</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5.25E-03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1.31E-03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0.07</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4.46E-03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1.13E-03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0.06</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3.86E-03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9.88E-04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3.38E-03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8.76E-04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7.84E-04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2.68E-03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7.09E-04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2.43E-03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6.44E-04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2.21E-03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5.89E-04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2.02E-03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5.42E-04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1.86E-03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5.01E-04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1.72E-03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4.65E-04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1.59E-03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4.33E-04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1.48E-03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下风向最大落地浓度及占标率</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4.43E-02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1.19E-01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D10%最远距离/m</w:t>
                  </w:r>
                </w:p>
              </w:tc>
              <w:tc>
                <w:tcPr>
                  <w:tcW w:w="3402"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325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r>
          </w:tbl>
          <w:p>
            <w:pPr>
              <w:ind w:firstLine="480" w:firstLineChars="200"/>
              <w:rPr>
                <w:rFonts w:eastAsia="宋体"/>
                <w:sz w:val="24"/>
                <w:szCs w:val="24"/>
              </w:rPr>
            </w:pPr>
            <w:r>
              <w:rPr>
                <w:rFonts w:hint="eastAsia" w:eastAsia="宋体"/>
                <w:sz w:val="24"/>
                <w:szCs w:val="24"/>
              </w:rPr>
              <w:t>从表7-5看出，项目下风向最大占标率为加油区无组织排放非甲烷总烃，Pmax=5.93%，小于10%。根据评价工作等级的判据，本评价的大气环境为二级评价。二级评价的大气环境影响评价范围取自厂界外延2.5km 的矩形区域。根据《环境影响评价技术导则-大气环境》（HJ2.2-2018），二级评价项目不进行进一步预测与评价，只对污染物排放量进行核算。</w:t>
            </w:r>
          </w:p>
          <w:p>
            <w:pPr>
              <w:ind w:firstLine="480" w:firstLineChars="200"/>
              <w:rPr>
                <w:rFonts w:eastAsia="宋体"/>
                <w:color w:val="auto"/>
                <w:sz w:val="24"/>
                <w:szCs w:val="24"/>
              </w:rPr>
            </w:pPr>
            <w:r>
              <w:rPr>
                <w:rFonts w:hint="eastAsia" w:eastAsia="宋体"/>
                <w:sz w:val="24"/>
                <w:szCs w:val="24"/>
              </w:rPr>
              <w:t>由估算结果可见，正常工况下，本加油站无组织源引起的最大落地浓度位于下风向16m处，最大落地浓度为0.119mg/m</w:t>
            </w:r>
            <w:r>
              <w:rPr>
                <w:rFonts w:hint="eastAsia" w:eastAsia="宋体"/>
                <w:sz w:val="24"/>
                <w:szCs w:val="24"/>
                <w:vertAlign w:val="superscript"/>
              </w:rPr>
              <w:t>3</w:t>
            </w:r>
            <w:r>
              <w:rPr>
                <w:rFonts w:hint="eastAsia" w:eastAsia="宋体"/>
                <w:sz w:val="24"/>
                <w:szCs w:val="24"/>
              </w:rPr>
              <w:t>，占标率为5.93%。项目四周场界可达环境质量标准，本项目在申报环评期间属于停业状态，</w:t>
            </w:r>
            <w:r>
              <w:rPr>
                <w:rFonts w:hint="eastAsia" w:eastAsia="宋体"/>
                <w:bCs/>
                <w:sz w:val="24"/>
                <w:szCs w:val="24"/>
              </w:rPr>
              <w:t>参考类似加油站项目的验收检测数据（《中国石化销售股份有限公</w:t>
            </w:r>
            <w:bookmarkStart w:id="9" w:name="_GoBack"/>
            <w:r>
              <w:rPr>
                <w:rFonts w:hint="eastAsia" w:eastAsia="宋体"/>
                <w:bCs/>
                <w:color w:val="auto"/>
                <w:sz w:val="24"/>
                <w:szCs w:val="24"/>
              </w:rPr>
              <w:t>司泗阳泗水大道加油站项目》验收检测报告），厂界非甲烷总烃浓度最大值为0.97mg/m</w:t>
            </w:r>
            <w:r>
              <w:rPr>
                <w:rFonts w:hint="eastAsia" w:eastAsia="宋体"/>
                <w:bCs/>
                <w:color w:val="auto"/>
                <w:sz w:val="24"/>
                <w:szCs w:val="24"/>
                <w:vertAlign w:val="superscript"/>
              </w:rPr>
              <w:t>3</w:t>
            </w:r>
            <w:r>
              <w:rPr>
                <w:rFonts w:hint="eastAsia" w:eastAsia="宋体"/>
                <w:bCs/>
                <w:color w:val="auto"/>
                <w:sz w:val="24"/>
                <w:szCs w:val="24"/>
              </w:rPr>
              <w:t>，厂界非甲烷总烃浓度可满足</w:t>
            </w:r>
            <w:r>
              <w:rPr>
                <w:rFonts w:hint="eastAsia" w:eastAsia="宋体"/>
                <w:color w:val="auto"/>
                <w:sz w:val="24"/>
                <w:szCs w:val="24"/>
              </w:rPr>
              <w:t>《大气污染物综合排放标准》（GB16297-1996）表2中标准。综合估算结果及同类项目验收检测结果，本项目</w:t>
            </w:r>
            <w:r>
              <w:rPr>
                <w:rFonts w:eastAsia="宋体"/>
                <w:color w:val="auto"/>
                <w:sz w:val="24"/>
                <w:szCs w:val="24"/>
              </w:rPr>
              <w:t>对周围大气环境影响较小</w:t>
            </w:r>
            <w:r>
              <w:rPr>
                <w:rFonts w:hint="eastAsia" w:eastAsia="宋体"/>
                <w:color w:val="auto"/>
                <w:sz w:val="24"/>
                <w:szCs w:val="24"/>
              </w:rPr>
              <w:t>，项目无需设置大气环境防护距离。</w:t>
            </w:r>
          </w:p>
          <w:p>
            <w:pPr>
              <w:ind w:firstLine="480" w:firstLineChars="200"/>
              <w:rPr>
                <w:rFonts w:eastAsia="宋体"/>
                <w:color w:val="auto"/>
                <w:sz w:val="24"/>
                <w:szCs w:val="24"/>
              </w:rPr>
            </w:pPr>
            <w:r>
              <w:rPr>
                <w:rFonts w:hint="eastAsia" w:eastAsia="宋体"/>
                <w:color w:val="auto"/>
                <w:sz w:val="24"/>
                <w:szCs w:val="24"/>
              </w:rPr>
              <w:t>本项目汽、柴油采用密闭罐车进行输送；储存采用密闭性较好的地埋式储油罐；卸油、加油过程采用一级、二级油气回收系统；建立含VOCs物料（汽油、柴油）管理台账，记录名称、使用量等信息，台账保存期限不少于3年；检维修和清洗时，应将残存物料退净，并用密闭容器盛装；加强操作人员的业务培训和学习，严格按照行业操作规程作业，避免跑冒滴漏现象。</w:t>
            </w:r>
          </w:p>
          <w:p>
            <w:pPr>
              <w:ind w:firstLine="480" w:firstLineChars="200"/>
              <w:rPr>
                <w:rFonts w:eastAsia="宋体"/>
                <w:sz w:val="24"/>
                <w:szCs w:val="24"/>
              </w:rPr>
            </w:pPr>
            <w:r>
              <w:rPr>
                <w:rFonts w:eastAsia="宋体"/>
                <w:color w:val="auto"/>
                <w:sz w:val="24"/>
                <w:szCs w:val="24"/>
              </w:rPr>
              <w:t>因此经</w:t>
            </w:r>
            <w:r>
              <w:rPr>
                <w:rFonts w:hint="eastAsia" w:eastAsia="宋体"/>
                <w:color w:val="auto"/>
                <w:sz w:val="24"/>
                <w:szCs w:val="24"/>
              </w:rPr>
              <w:t>采取本环评所述控制措施</w:t>
            </w:r>
            <w:r>
              <w:rPr>
                <w:rFonts w:eastAsia="宋体"/>
                <w:color w:val="auto"/>
                <w:sz w:val="24"/>
                <w:szCs w:val="24"/>
              </w:rPr>
              <w:t>后，</w:t>
            </w:r>
            <w:r>
              <w:rPr>
                <w:rFonts w:hint="eastAsia" w:eastAsia="宋体"/>
                <w:color w:val="auto"/>
                <w:sz w:val="24"/>
                <w:szCs w:val="24"/>
              </w:rPr>
              <w:t>综合估算结果及同类项目验收检测结果，</w:t>
            </w:r>
            <w:r>
              <w:rPr>
                <w:rFonts w:eastAsia="宋体"/>
                <w:color w:val="auto"/>
                <w:sz w:val="24"/>
                <w:szCs w:val="24"/>
              </w:rPr>
              <w:t>本</w:t>
            </w:r>
            <w:bookmarkEnd w:id="9"/>
            <w:r>
              <w:rPr>
                <w:rFonts w:eastAsia="宋体"/>
                <w:sz w:val="24"/>
                <w:szCs w:val="24"/>
              </w:rPr>
              <w:t>项目</w:t>
            </w:r>
            <w:r>
              <w:rPr>
                <w:rFonts w:hint="eastAsia" w:eastAsia="宋体"/>
                <w:sz w:val="24"/>
                <w:szCs w:val="24"/>
              </w:rPr>
              <w:t>无</w:t>
            </w:r>
            <w:r>
              <w:rPr>
                <w:rFonts w:eastAsia="宋体"/>
                <w:sz w:val="24"/>
                <w:szCs w:val="24"/>
              </w:rPr>
              <w:t>组织排放的</w:t>
            </w:r>
            <w:r>
              <w:rPr>
                <w:rFonts w:hint="eastAsia" w:eastAsia="宋体"/>
                <w:sz w:val="24"/>
                <w:szCs w:val="24"/>
              </w:rPr>
              <w:t>非甲烷总烃在厂界</w:t>
            </w:r>
            <w:r>
              <w:rPr>
                <w:rFonts w:eastAsia="宋体"/>
                <w:sz w:val="24"/>
                <w:szCs w:val="24"/>
              </w:rPr>
              <w:t>浓度</w:t>
            </w:r>
            <w:r>
              <w:rPr>
                <w:rFonts w:hint="eastAsia" w:eastAsia="宋体"/>
                <w:sz w:val="24"/>
                <w:szCs w:val="24"/>
              </w:rPr>
              <w:t>可</w:t>
            </w:r>
            <w:r>
              <w:rPr>
                <w:rFonts w:eastAsia="宋体"/>
                <w:sz w:val="24"/>
                <w:szCs w:val="24"/>
              </w:rPr>
              <w:t>满足</w:t>
            </w:r>
            <w:r>
              <w:rPr>
                <w:rFonts w:hint="eastAsia" w:eastAsia="宋体"/>
                <w:sz w:val="24"/>
                <w:szCs w:val="24"/>
              </w:rPr>
              <w:t>《大气污染物综合排放标准》（GB16297-1996）表2无组织排放监控浓度限值要求</w:t>
            </w:r>
            <w:r>
              <w:rPr>
                <w:rFonts w:eastAsia="宋体"/>
                <w:sz w:val="24"/>
                <w:szCs w:val="24"/>
              </w:rPr>
              <w:t>，废气可达标排放，废气污染防治措施可行，对周围大气环境影响较小。</w:t>
            </w:r>
          </w:p>
          <w:p>
            <w:pPr>
              <w:ind w:firstLine="480" w:firstLineChars="200"/>
              <w:rPr>
                <w:rFonts w:eastAsia="宋体"/>
                <w:sz w:val="24"/>
                <w:szCs w:val="24"/>
              </w:rPr>
            </w:pPr>
            <w:r>
              <w:rPr>
                <w:rFonts w:hint="eastAsia" w:eastAsia="宋体"/>
                <w:sz w:val="24"/>
                <w:szCs w:val="24"/>
              </w:rPr>
              <w:t>（2）机动车尾气环境影响</w:t>
            </w:r>
          </w:p>
          <w:p>
            <w:pPr>
              <w:ind w:firstLine="480" w:firstLineChars="200"/>
              <w:rPr>
                <w:rFonts w:eastAsia="宋体"/>
                <w:sz w:val="24"/>
                <w:szCs w:val="24"/>
              </w:rPr>
            </w:pPr>
            <w:r>
              <w:rPr>
                <w:rFonts w:hint="eastAsia" w:eastAsia="宋体"/>
                <w:sz w:val="24"/>
                <w:szCs w:val="24"/>
              </w:rPr>
              <w:t>项目营运期加油车辆进出时将产生少量的汽车尾气，主要污染物为THC、NOx 和CO。由于进出加油站的车辆行驶路程短，速度慢，因此尾气排放量较少，汽车尾气为间歇无组织排放。项目周围设置一定的绿化带，通过空气自然流通扩散及绿化吸收净化的作用，项目内产生的机动车尾气，很快就能被稀释扩散，对周围环境影响较小。</w:t>
            </w:r>
          </w:p>
          <w:p>
            <w:pPr>
              <w:ind w:firstLine="480" w:firstLineChars="200"/>
              <w:rPr>
                <w:rFonts w:eastAsia="宋体"/>
                <w:sz w:val="24"/>
                <w:szCs w:val="24"/>
              </w:rPr>
            </w:pPr>
            <w:r>
              <w:rPr>
                <w:rFonts w:hint="eastAsia" w:eastAsia="宋体"/>
                <w:sz w:val="24"/>
                <w:szCs w:val="24"/>
              </w:rPr>
              <w:t>（3）污染物排放量核算</w:t>
            </w:r>
          </w:p>
          <w:p>
            <w:pPr>
              <w:ind w:firstLine="480" w:firstLineChars="200"/>
              <w:rPr>
                <w:rFonts w:eastAsia="宋体"/>
                <w:sz w:val="24"/>
                <w:szCs w:val="24"/>
              </w:rPr>
            </w:pPr>
            <w:r>
              <w:rPr>
                <w:rFonts w:hint="eastAsia" w:eastAsia="宋体"/>
                <w:sz w:val="24"/>
                <w:szCs w:val="24"/>
              </w:rPr>
              <w:t>本项目没有有组织排放口，因此仅进行大气污染物无组织排放量核算，无组织排放量核算情况见表7-6，大气污染物年排放量核算情况见表7-7。</w:t>
            </w:r>
          </w:p>
          <w:p>
            <w:pPr>
              <w:widowControl w:val="0"/>
              <w:spacing w:after="120" w:line="240" w:lineRule="auto"/>
              <w:ind w:firstLine="241" w:firstLineChars="100"/>
              <w:jc w:val="center"/>
              <w:rPr>
                <w:rFonts w:eastAsia="宋体"/>
                <w:b/>
                <w:sz w:val="24"/>
                <w:szCs w:val="24"/>
              </w:rPr>
            </w:pPr>
            <w:r>
              <w:rPr>
                <w:rFonts w:eastAsia="宋体"/>
                <w:b/>
                <w:sz w:val="24"/>
                <w:szCs w:val="24"/>
              </w:rPr>
              <w:t>表7-</w:t>
            </w:r>
            <w:r>
              <w:rPr>
                <w:rFonts w:hint="eastAsia" w:eastAsia="宋体"/>
                <w:b/>
                <w:sz w:val="24"/>
                <w:szCs w:val="24"/>
              </w:rPr>
              <w:t>6</w:t>
            </w:r>
            <w:r>
              <w:rPr>
                <w:rFonts w:eastAsia="宋体"/>
                <w:b/>
                <w:sz w:val="24"/>
                <w:szCs w:val="24"/>
              </w:rPr>
              <w:t>大气污染物无组织排放量核算表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53"/>
              <w:gridCol w:w="1079"/>
              <w:gridCol w:w="526"/>
              <w:gridCol w:w="323"/>
              <w:gridCol w:w="1560"/>
              <w:gridCol w:w="670"/>
              <w:gridCol w:w="1171"/>
              <w:gridCol w:w="1419"/>
              <w:gridCol w:w="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472"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排放口编号</w:t>
                  </w:r>
                </w:p>
              </w:tc>
              <w:tc>
                <w:tcPr>
                  <w:tcW w:w="597"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产污</w:t>
                  </w:r>
                  <w:r>
                    <w:rPr>
                      <w:rFonts w:eastAsia="宋体"/>
                      <w:sz w:val="21"/>
                      <w:szCs w:val="21"/>
                    </w:rPr>
                    <w:br w:type="textWrapping"/>
                  </w:r>
                  <w:r>
                    <w:rPr>
                      <w:rFonts w:eastAsia="宋体"/>
                      <w:sz w:val="21"/>
                      <w:szCs w:val="21"/>
                    </w:rPr>
                    <w:t>环节</w:t>
                  </w:r>
                </w:p>
              </w:tc>
              <w:tc>
                <w:tcPr>
                  <w:tcW w:w="470" w:type="pct"/>
                  <w:gridSpan w:val="2"/>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863"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主要污染防治措施</w:t>
                  </w:r>
                </w:p>
              </w:tc>
              <w:tc>
                <w:tcPr>
                  <w:tcW w:w="1804" w:type="pct"/>
                  <w:gridSpan w:val="3"/>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国家或地方污染物排放标准</w:t>
                  </w:r>
                </w:p>
              </w:tc>
              <w:tc>
                <w:tcPr>
                  <w:tcW w:w="538" w:type="pct"/>
                  <w:vMerge w:val="restart"/>
                  <w:tcBorders>
                    <w:top w:val="single" w:color="auto" w:sz="12"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472" w:type="pct"/>
                  <w:vMerge w:val="continue"/>
                  <w:tcBorders>
                    <w:top w:val="single" w:color="auto" w:sz="4" w:space="0"/>
                    <w:bottom w:val="single" w:color="000000" w:themeColor="text1" w:sz="12" w:space="0"/>
                  </w:tcBorders>
                </w:tcPr>
                <w:p>
                  <w:pPr>
                    <w:widowControl w:val="0"/>
                    <w:tabs>
                      <w:tab w:val="center" w:pos="4153"/>
                      <w:tab w:val="right" w:pos="8306"/>
                    </w:tabs>
                    <w:snapToGrid w:val="0"/>
                    <w:spacing w:line="240" w:lineRule="auto"/>
                    <w:jc w:val="center"/>
                    <w:rPr>
                      <w:rFonts w:eastAsia="宋体"/>
                      <w:sz w:val="21"/>
                      <w:szCs w:val="21"/>
                    </w:rPr>
                  </w:pPr>
                </w:p>
              </w:tc>
              <w:tc>
                <w:tcPr>
                  <w:tcW w:w="597"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470" w:type="pct"/>
                  <w:gridSpan w:val="2"/>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863"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1019" w:type="pct"/>
                  <w:gridSpan w:val="2"/>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标准名称</w:t>
                  </w:r>
                </w:p>
              </w:tc>
              <w:tc>
                <w:tcPr>
                  <w:tcW w:w="785" w:type="pct"/>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浓度限值/（μg/m</w:t>
                  </w:r>
                  <w:r>
                    <w:rPr>
                      <w:rFonts w:eastAsia="宋体"/>
                      <w:sz w:val="21"/>
                      <w:szCs w:val="21"/>
                      <w:vertAlign w:val="superscript"/>
                    </w:rPr>
                    <w:t>3</w:t>
                  </w:r>
                  <w:r>
                    <w:rPr>
                      <w:rFonts w:eastAsia="宋体"/>
                      <w:sz w:val="21"/>
                      <w:szCs w:val="21"/>
                    </w:rPr>
                    <w:t>）</w:t>
                  </w:r>
                </w:p>
              </w:tc>
              <w:tc>
                <w:tcPr>
                  <w:tcW w:w="538"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472"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卸油储油区</w:t>
                  </w:r>
                </w:p>
              </w:tc>
              <w:tc>
                <w:tcPr>
                  <w:tcW w:w="597"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大呼吸</w:t>
                  </w:r>
                </w:p>
              </w:tc>
              <w:tc>
                <w:tcPr>
                  <w:tcW w:w="470" w:type="pct"/>
                  <w:gridSpan w:val="2"/>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863"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汽油卸油油气回收系统</w:t>
                  </w:r>
                </w:p>
              </w:tc>
              <w:tc>
                <w:tcPr>
                  <w:tcW w:w="1019" w:type="pct"/>
                  <w:gridSpan w:val="2"/>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《大气污染物综合排放标准》（GB16297-1996）</w:t>
                  </w:r>
                </w:p>
              </w:tc>
              <w:tc>
                <w:tcPr>
                  <w:tcW w:w="785" w:type="pct"/>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r>
                    <w:rPr>
                      <w:rFonts w:eastAsia="宋体"/>
                      <w:sz w:val="21"/>
                      <w:szCs w:val="21"/>
                    </w:rPr>
                    <w:t>000</w:t>
                  </w:r>
                </w:p>
              </w:tc>
              <w:tc>
                <w:tcPr>
                  <w:tcW w:w="538" w:type="pct"/>
                  <w:tcBorders>
                    <w:top w:val="single" w:color="000000" w:themeColor="text1" w:sz="12" w:space="0"/>
                    <w:bottom w:val="single" w:color="auto" w:sz="4" w:space="0"/>
                  </w:tcBorders>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p>
              </w:tc>
              <w:tc>
                <w:tcPr>
                  <w:tcW w:w="472" w:type="pct"/>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加油区</w:t>
                  </w:r>
                </w:p>
              </w:tc>
              <w:tc>
                <w:tcPr>
                  <w:tcW w:w="597"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加油零售</w:t>
                  </w:r>
                </w:p>
              </w:tc>
              <w:tc>
                <w:tcPr>
                  <w:tcW w:w="470" w:type="pct"/>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863"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汽油加油油气回收系统</w:t>
                  </w:r>
                </w:p>
              </w:tc>
              <w:tc>
                <w:tcPr>
                  <w:tcW w:w="1019" w:type="pct"/>
                  <w:gridSpan w:val="2"/>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85" w:type="pct"/>
                  <w:vMerge w:val="continue"/>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color="auto" w:sz="4" w:space="0"/>
                    <w:bottom w:val="single" w:color="auto" w:sz="4" w:space="0"/>
                  </w:tcBorders>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0.3796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5000" w:type="pct"/>
                  <w:gridSpan w:val="10"/>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616" w:type="pct"/>
                  <w:gridSpan w:val="4"/>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无组织排放总计</w:t>
                  </w:r>
                </w:p>
              </w:tc>
              <w:tc>
                <w:tcPr>
                  <w:tcW w:w="1413" w:type="pct"/>
                  <w:gridSpan w:val="3"/>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971" w:type="pct"/>
                  <w:gridSpan w:val="3"/>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0.3946</w:t>
                  </w:r>
                </w:p>
              </w:tc>
            </w:tr>
          </w:tbl>
          <w:p>
            <w:pPr>
              <w:widowControl w:val="0"/>
              <w:tabs>
                <w:tab w:val="left" w:pos="1680"/>
              </w:tabs>
              <w:ind w:firstLine="560" w:firstLineChars="200"/>
              <w:jc w:val="both"/>
            </w:pPr>
          </w:p>
          <w:p>
            <w:pPr>
              <w:widowControl w:val="0"/>
              <w:spacing w:after="120" w:line="240" w:lineRule="auto"/>
              <w:ind w:firstLine="241" w:firstLineChars="100"/>
              <w:jc w:val="center"/>
              <w:rPr>
                <w:rFonts w:eastAsia="宋体"/>
                <w:b/>
                <w:sz w:val="24"/>
                <w:szCs w:val="24"/>
              </w:rPr>
            </w:pPr>
            <w:bookmarkStart w:id="6" w:name="_Ref488964738"/>
            <w:r>
              <w:rPr>
                <w:rFonts w:eastAsia="宋体"/>
                <w:b/>
                <w:sz w:val="24"/>
                <w:szCs w:val="24"/>
              </w:rPr>
              <w:t>表</w:t>
            </w:r>
            <w:bookmarkEnd w:id="6"/>
            <w:r>
              <w:rPr>
                <w:rFonts w:eastAsia="宋体"/>
                <w:b/>
                <w:sz w:val="24"/>
                <w:szCs w:val="24"/>
              </w:rPr>
              <w:t>7-</w:t>
            </w:r>
            <w:r>
              <w:rPr>
                <w:rFonts w:hint="eastAsia" w:eastAsia="宋体"/>
                <w:b/>
                <w:sz w:val="24"/>
                <w:szCs w:val="24"/>
              </w:rPr>
              <w:t>7</w:t>
            </w:r>
            <w:r>
              <w:rPr>
                <w:rFonts w:eastAsia="宋体"/>
                <w:b/>
                <w:sz w:val="24"/>
                <w:szCs w:val="24"/>
              </w:rPr>
              <w:t xml:space="preserve"> 大气污染物年排放量核算表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3415"/>
              <w:gridCol w:w="3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1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889"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1981"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889"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981" w:type="pct"/>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0.3946</w:t>
                  </w:r>
                </w:p>
              </w:tc>
            </w:tr>
          </w:tbl>
          <w:p>
            <w:pPr>
              <w:widowControl w:val="0"/>
              <w:tabs>
                <w:tab w:val="left" w:pos="1680"/>
              </w:tabs>
              <w:ind w:firstLine="480" w:firstLineChars="200"/>
              <w:jc w:val="both"/>
              <w:rPr>
                <w:rFonts w:eastAsia="宋体"/>
                <w:sz w:val="24"/>
                <w:szCs w:val="24"/>
              </w:rPr>
            </w:pPr>
          </w:p>
          <w:p>
            <w:pPr>
              <w:ind w:firstLine="482" w:firstLineChars="200"/>
              <w:jc w:val="center"/>
              <w:rPr>
                <w:rFonts w:eastAsia="宋体"/>
                <w:b/>
                <w:sz w:val="24"/>
                <w:szCs w:val="24"/>
              </w:rPr>
            </w:pPr>
            <w:r>
              <w:rPr>
                <w:rFonts w:hint="eastAsia" w:eastAsia="宋体"/>
                <w:b/>
                <w:sz w:val="24"/>
                <w:szCs w:val="24"/>
              </w:rPr>
              <w:t>表7-8大气环境影响评价自查表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6"/>
              <w:gridCol w:w="1687"/>
              <w:gridCol w:w="975"/>
              <w:gridCol w:w="376"/>
              <w:gridCol w:w="83"/>
              <w:gridCol w:w="31"/>
              <w:gridCol w:w="387"/>
              <w:gridCol w:w="116"/>
              <w:gridCol w:w="560"/>
              <w:gridCol w:w="266"/>
              <w:gridCol w:w="60"/>
              <w:gridCol w:w="56"/>
              <w:gridCol w:w="108"/>
              <w:gridCol w:w="515"/>
              <w:gridCol w:w="410"/>
              <w:gridCol w:w="181"/>
              <w:gridCol w:w="428"/>
              <w:gridCol w:w="139"/>
              <w:gridCol w:w="72"/>
              <w:gridCol w:w="410"/>
              <w:gridCol w:w="483"/>
              <w:gridCol w:w="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1472" w:type="pct"/>
                  <w:gridSpan w:val="2"/>
                  <w:tcBorders>
                    <w:bottom w:val="nil"/>
                  </w:tcBorders>
                  <w:shd w:val="clear" w:color="auto" w:fill="auto"/>
                  <w:vAlign w:val="center"/>
                </w:tcPr>
                <w:p>
                  <w:pPr>
                    <w:widowControl w:val="0"/>
                    <w:adjustRightInd w:val="0"/>
                    <w:snapToGrid w:val="0"/>
                    <w:spacing w:line="240" w:lineRule="auto"/>
                    <w:jc w:val="center"/>
                    <w:rPr>
                      <w:rFonts w:eastAsia="宋体" w:cs="Calibri"/>
                      <w:b/>
                      <w:sz w:val="18"/>
                      <w:szCs w:val="18"/>
                    </w:rPr>
                  </w:pPr>
                  <w:r>
                    <w:rPr>
                      <w:rFonts w:hint="eastAsia" w:eastAsia="宋体" w:cs="Calibri"/>
                      <w:b/>
                      <w:sz w:val="18"/>
                      <w:szCs w:val="18"/>
                    </w:rPr>
                    <w:t>工作内容</w:t>
                  </w:r>
                </w:p>
              </w:tc>
              <w:tc>
                <w:tcPr>
                  <w:tcW w:w="3528" w:type="pct"/>
                  <w:gridSpan w:val="20"/>
                  <w:tcBorders>
                    <w:bottom w:val="nil"/>
                  </w:tcBorders>
                  <w:shd w:val="clear" w:color="auto" w:fill="auto"/>
                  <w:vAlign w:val="center"/>
                </w:tcPr>
                <w:p>
                  <w:pPr>
                    <w:widowControl w:val="0"/>
                    <w:adjustRightInd w:val="0"/>
                    <w:snapToGrid w:val="0"/>
                    <w:spacing w:line="240" w:lineRule="auto"/>
                    <w:jc w:val="center"/>
                    <w:rPr>
                      <w:rFonts w:eastAsia="宋体" w:cs="Calibri"/>
                      <w:b/>
                      <w:sz w:val="18"/>
                      <w:szCs w:val="18"/>
                    </w:rPr>
                  </w:pPr>
                  <w:r>
                    <w:rPr>
                      <w:rFonts w:hint="eastAsia" w:eastAsia="宋体" w:cs="Calibri"/>
                      <w:b/>
                      <w:sz w:val="18"/>
                      <w:szCs w:val="18"/>
                    </w:rPr>
                    <w:t>自查项目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评价等级与范围</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评价等级</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一级□</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二级</w:t>
                  </w:r>
                  <w:r>
                    <w:rPr>
                      <w:rFonts w:hint="eastAsia" w:ascii="MS Mincho" w:hAnsi="MS Mincho" w:eastAsia="MS Mincho" w:cs="MS Mincho"/>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评价范围</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=50km</w:t>
                  </w:r>
                  <w:r>
                    <w:rPr>
                      <w:rFonts w:hint="eastAsia" w:eastAsia="宋体" w:cs="Calibri"/>
                      <w:sz w:val="18"/>
                      <w:szCs w:val="18"/>
                    </w:rPr>
                    <w:t>□</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w:t>
                  </w:r>
                  <w:r>
                    <w:rPr>
                      <w:rFonts w:hint="eastAsia" w:eastAsia="宋体" w:cs="Calibri"/>
                      <w:sz w:val="18"/>
                      <w:szCs w:val="18"/>
                    </w:rPr>
                    <w:t>～</w:t>
                  </w:r>
                  <w:r>
                    <w:rPr>
                      <w:rFonts w:eastAsia="宋体" w:cs="Calibri"/>
                      <w:sz w:val="18"/>
                      <w:szCs w:val="18"/>
                    </w:rPr>
                    <w:t>50km</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 km</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评价因子</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SO</w:t>
                  </w:r>
                  <w:r>
                    <w:rPr>
                      <w:rFonts w:eastAsia="宋体" w:cs="Calibri"/>
                      <w:sz w:val="18"/>
                      <w:szCs w:val="18"/>
                      <w:vertAlign w:val="subscript"/>
                    </w:rPr>
                    <w:t>2</w:t>
                  </w:r>
                  <w:r>
                    <w:rPr>
                      <w:rFonts w:eastAsia="宋体" w:cs="Calibri"/>
                      <w:sz w:val="18"/>
                      <w:szCs w:val="18"/>
                    </w:rPr>
                    <w:t xml:space="preserve"> +NOx</w:t>
                  </w:r>
                  <w:r>
                    <w:rPr>
                      <w:rFonts w:hint="eastAsia" w:eastAsia="宋体" w:cs="Calibri"/>
                      <w:sz w:val="18"/>
                      <w:szCs w:val="18"/>
                    </w:rPr>
                    <w:t>排放量</w:t>
                  </w:r>
                </w:p>
              </w:tc>
              <w:tc>
                <w:tcPr>
                  <w:tcW w:w="747"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w:t>
                  </w:r>
                  <w:r>
                    <w:rPr>
                      <w:rFonts w:eastAsia="宋体" w:cs="Calibri"/>
                      <w:sz w:val="18"/>
                      <w:szCs w:val="18"/>
                    </w:rPr>
                    <w:t xml:space="preserve"> 2000t/a</w:t>
                  </w:r>
                  <w:r>
                    <w:rPr>
                      <w:rFonts w:hint="eastAsia" w:eastAsia="宋体" w:cs="Calibri"/>
                      <w:sz w:val="18"/>
                      <w:szCs w:val="18"/>
                    </w:rPr>
                    <w:t>□</w:t>
                  </w:r>
                </w:p>
              </w:tc>
              <w:tc>
                <w:tcPr>
                  <w:tcW w:w="1888" w:type="pct"/>
                  <w:gridSpan w:val="1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500 ~ 2000t/a</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w:t>
                  </w:r>
                  <w:r>
                    <w:rPr>
                      <w:rFonts w:eastAsia="宋体" w:cs="Calibri"/>
                      <w:sz w:val="18"/>
                      <w:szCs w:val="18"/>
                    </w:rPr>
                    <w:t>500 t/a</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评价因子</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 xml:space="preserve">基本污染物 ( / </w:t>
                  </w:r>
                  <w:r>
                    <w:rPr>
                      <w:rFonts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其他污染物 (非甲烷总烃</w:t>
                  </w:r>
                  <w:r>
                    <w:rPr>
                      <w:rFonts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包括二次</w:t>
                  </w:r>
                  <w:r>
                    <w:rPr>
                      <w:rFonts w:eastAsia="宋体" w:cs="Calibri"/>
                      <w:sz w:val="18"/>
                      <w:szCs w:val="18"/>
                    </w:rPr>
                    <w:t>PM2.5</w:t>
                  </w:r>
                  <w:r>
                    <w:rPr>
                      <w:rFonts w:hint="eastAsia"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不包括二次</w:t>
                  </w:r>
                  <w:r>
                    <w:rPr>
                      <w:rFonts w:eastAsia="宋体" w:cs="Calibri"/>
                      <w:sz w:val="18"/>
                      <w:szCs w:val="18"/>
                    </w:rPr>
                    <w:t>PM2.5</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评价标准</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评价标准</w:t>
                  </w:r>
                </w:p>
              </w:tc>
              <w:tc>
                <w:tcPr>
                  <w:tcW w:w="108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国家标准</w:t>
                  </w:r>
                  <w:r>
                    <w:rPr>
                      <w:rFonts w:hint="eastAsia" w:ascii="MS Mincho" w:hAnsi="MS Mincho" w:eastAsia="MS Mincho" w:cs="MS Mincho"/>
                      <w:sz w:val="18"/>
                      <w:szCs w:val="18"/>
                    </w:rPr>
                    <w:t>☑</w:t>
                  </w:r>
                </w:p>
              </w:tc>
              <w:tc>
                <w:tcPr>
                  <w:tcW w:w="866"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地方标准 □</w:t>
                  </w:r>
                </w:p>
              </w:tc>
              <w:tc>
                <w:tcPr>
                  <w:tcW w:w="90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附录</w:t>
                  </w:r>
                  <w:r>
                    <w:rPr>
                      <w:rFonts w:eastAsia="宋体" w:cs="Calibri"/>
                      <w:sz w:val="18"/>
                      <w:szCs w:val="18"/>
                    </w:rPr>
                    <w:t xml:space="preserve">D </w:t>
                  </w:r>
                  <w:r>
                    <w:rPr>
                      <w:rFonts w:hint="eastAsia" w:eastAsia="宋体" w:cs="Calibri"/>
                      <w:sz w:val="18"/>
                      <w:szCs w:val="18"/>
                    </w:rPr>
                    <w:t>□</w:t>
                  </w:r>
                </w:p>
              </w:tc>
              <w:tc>
                <w:tcPr>
                  <w:tcW w:w="666" w:type="pct"/>
                  <w:gridSpan w:val="2"/>
                  <w:shd w:val="clear" w:color="auto" w:fill="auto"/>
                  <w:vAlign w:val="center"/>
                </w:tcPr>
                <w:p>
                  <w:pPr>
                    <w:widowControl w:val="0"/>
                    <w:adjustRightInd w:val="0"/>
                    <w:snapToGrid w:val="0"/>
                    <w:spacing w:line="240" w:lineRule="auto"/>
                    <w:jc w:val="center"/>
                    <w:rPr>
                      <w:rFonts w:eastAsia="宋体" w:cs="Calibri"/>
                      <w:color w:val="FF0000"/>
                      <w:sz w:val="18"/>
                      <w:szCs w:val="18"/>
                    </w:rPr>
                  </w:pPr>
                  <w:r>
                    <w:rPr>
                      <w:rFonts w:hint="eastAsia" w:eastAsia="宋体" w:cs="Calibri"/>
                      <w:sz w:val="18"/>
                      <w:szCs w:val="18"/>
                    </w:rPr>
                    <w:t>其他标准</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现状评价</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环境功能区</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w:t>
                  </w:r>
                </w:p>
              </w:tc>
              <w:tc>
                <w:tcPr>
                  <w:tcW w:w="1197" w:type="pct"/>
                  <w:gridSpan w:val="9"/>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二类区</w:t>
                  </w:r>
                  <w:r>
                    <w:rPr>
                      <w:rFonts w:hint="eastAsia" w:ascii="MS Mincho" w:hAnsi="MS Mincho" w:eastAsia="MS Mincho" w:cs="MS Mincho"/>
                      <w:sz w:val="18"/>
                      <w:szCs w:val="18"/>
                    </w:rPr>
                    <w:t>☑</w:t>
                  </w:r>
                </w:p>
              </w:tc>
              <w:tc>
                <w:tcPr>
                  <w:tcW w:w="933"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一类区和二类区□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评价基准年</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环境空气质量</w:t>
                  </w:r>
                  <w:r>
                    <w:rPr>
                      <w:rFonts w:eastAsia="宋体" w:cs="Calibri"/>
                      <w:sz w:val="18"/>
                      <w:szCs w:val="18"/>
                    </w:rPr>
                    <w:br w:type="textWrapping"/>
                  </w:r>
                  <w:r>
                    <w:rPr>
                      <w:rFonts w:hint="eastAsia" w:eastAsia="宋体" w:cs="Calibri"/>
                      <w:sz w:val="18"/>
                      <w:szCs w:val="18"/>
                    </w:rPr>
                    <w:t>现状调查数据来源</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长期例行监测数据□</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主管部门发布的数据</w:t>
                  </w:r>
                  <w:r>
                    <w:rPr>
                      <w:rFonts w:hint="eastAsia" w:ascii="MS Mincho" w:hAnsi="MS Mincho" w:eastAsia="MS Mincho" w:cs="MS Mincho"/>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现状补充监测□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现状评价</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达标区□</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不达标区</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w:t>
                  </w:r>
                  <w:r>
                    <w:rPr>
                      <w:rFonts w:eastAsia="宋体" w:cs="Calibri"/>
                      <w:sz w:val="18"/>
                      <w:szCs w:val="18"/>
                    </w:rPr>
                    <w:br w:type="textWrapping"/>
                  </w:r>
                  <w:r>
                    <w:rPr>
                      <w:rFonts w:hint="eastAsia" w:eastAsia="宋体" w:cs="Calibri"/>
                      <w:sz w:val="18"/>
                      <w:szCs w:val="18"/>
                    </w:rPr>
                    <w:t>调查</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调查内容</w:t>
                  </w:r>
                </w:p>
              </w:tc>
              <w:tc>
                <w:tcPr>
                  <w:tcW w:w="108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 xml:space="preserve">本项目正常排放源 </w:t>
                  </w:r>
                  <w:r>
                    <w:rPr>
                      <w:rFonts w:hint="eastAsia" w:ascii="MS Mincho" w:hAnsi="MS Mincho" w:eastAsia="MS Mincho" w:cs="MS Mincho"/>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本项目非正常排放源□</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现有污染源□</w:t>
                  </w:r>
                </w:p>
              </w:tc>
              <w:tc>
                <w:tcPr>
                  <w:tcW w:w="866"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拟替代的污染源□</w:t>
                  </w:r>
                </w:p>
              </w:tc>
              <w:tc>
                <w:tcPr>
                  <w:tcW w:w="90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其他在建、拟建项目污染源□</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区域污染源□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大气环境影响预测与</w:t>
                  </w:r>
                  <w:r>
                    <w:rPr>
                      <w:rFonts w:eastAsia="宋体" w:cs="Calibri"/>
                      <w:sz w:val="18"/>
                      <w:szCs w:val="18"/>
                    </w:rPr>
                    <w:br w:type="textWrapping"/>
                  </w:r>
                  <w:r>
                    <w:rPr>
                      <w:rFonts w:hint="eastAsia" w:eastAsia="宋体" w:cs="Calibri"/>
                      <w:sz w:val="18"/>
                      <w:szCs w:val="18"/>
                    </w:rPr>
                    <w:t>评价</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预测模型</w:t>
                  </w:r>
                </w:p>
              </w:tc>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AERMOD</w:t>
                  </w:r>
                  <w:r>
                    <w:rPr>
                      <w:rFonts w:eastAsia="宋体" w:cs="Calibri"/>
                      <w:sz w:val="18"/>
                      <w:szCs w:val="18"/>
                    </w:rPr>
                    <w:br w:type="textWrapping"/>
                  </w:r>
                  <w:r>
                    <w:rPr>
                      <w:rFonts w:hint="eastAsia" w:eastAsia="宋体" w:cs="Calibri"/>
                      <w:sz w:val="18"/>
                      <w:szCs w:val="18"/>
                    </w:rPr>
                    <w:t>□</w:t>
                  </w:r>
                </w:p>
              </w:tc>
              <w:tc>
                <w:tcPr>
                  <w:tcW w:w="485"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ADMS</w:t>
                  </w:r>
                  <w:r>
                    <w:rPr>
                      <w:rFonts w:eastAsia="宋体" w:cs="Calibri"/>
                      <w:sz w:val="18"/>
                      <w:szCs w:val="18"/>
                    </w:rPr>
                    <w:br w:type="textWrapping"/>
                  </w:r>
                  <w:r>
                    <w:rPr>
                      <w:rFonts w:hint="eastAsia" w:eastAsia="宋体" w:cs="Calibri"/>
                      <w:sz w:val="18"/>
                      <w:szCs w:val="18"/>
                    </w:rPr>
                    <w:t>□</w:t>
                  </w:r>
                </w:p>
              </w:tc>
              <w:tc>
                <w:tcPr>
                  <w:tcW w:w="585"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AUSTAL2000</w:t>
                  </w:r>
                  <w:r>
                    <w:rPr>
                      <w:rFonts w:hint="eastAsia" w:eastAsia="宋体" w:cs="Calibri"/>
                      <w:sz w:val="18"/>
                      <w:szCs w:val="18"/>
                    </w:rPr>
                    <w:t>□</w:t>
                  </w:r>
                </w:p>
              </w:tc>
              <w:tc>
                <w:tcPr>
                  <w:tcW w:w="572"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EDMS/AEDT</w:t>
                  </w:r>
                  <w:r>
                    <w:rPr>
                      <w:rFonts w:hint="eastAsia" w:eastAsia="宋体" w:cs="Calibri"/>
                      <w:sz w:val="18"/>
                      <w:szCs w:val="18"/>
                    </w:rPr>
                    <w:t>□</w:t>
                  </w:r>
                </w:p>
              </w:tc>
              <w:tc>
                <w:tcPr>
                  <w:tcW w:w="453"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CALPUFF</w:t>
                  </w:r>
                  <w:r>
                    <w:rPr>
                      <w:rFonts w:hint="eastAsia" w:eastAsia="宋体" w:cs="Calibri"/>
                      <w:sz w:val="18"/>
                      <w:szCs w:val="18"/>
                    </w:rPr>
                    <w:t>□</w:t>
                  </w:r>
                </w:p>
              </w:tc>
              <w:tc>
                <w:tcPr>
                  <w:tcW w:w="494"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网格模型</w:t>
                  </w:r>
                  <w:r>
                    <w:rPr>
                      <w:rFonts w:eastAsia="宋体" w:cs="Calibri"/>
                      <w:sz w:val="18"/>
                      <w:szCs w:val="18"/>
                    </w:rPr>
                    <w:br w:type="textWrapping"/>
                  </w:r>
                  <w:r>
                    <w:rPr>
                      <w:rFonts w:hint="eastAsia" w:eastAsia="宋体" w:cs="Calibri"/>
                      <w:sz w:val="18"/>
                      <w:szCs w:val="18"/>
                    </w:rPr>
                    <w:t>□</w:t>
                  </w:r>
                </w:p>
              </w:tc>
              <w:tc>
                <w:tcPr>
                  <w:tcW w:w="39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w:t>
                  </w:r>
                  <w:r>
                    <w:rPr>
                      <w:rFonts w:eastAsia="宋体" w:cs="Calibri"/>
                      <w:sz w:val="18"/>
                      <w:szCs w:val="18"/>
                    </w:rPr>
                    <w:br w:type="textWrapping"/>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预测范围</w:t>
                  </w:r>
                </w:p>
              </w:tc>
              <w:tc>
                <w:tcPr>
                  <w:tcW w:w="1024"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 xml:space="preserve"> 50km</w:t>
                  </w:r>
                  <w:r>
                    <w:rPr>
                      <w:rFonts w:hint="eastAsia" w:eastAsia="宋体" w:cs="Calibri"/>
                      <w:sz w:val="18"/>
                      <w:szCs w:val="18"/>
                    </w:rPr>
                    <w:t>□</w:t>
                  </w:r>
                </w:p>
              </w:tc>
              <w:tc>
                <w:tcPr>
                  <w:tcW w:w="1611"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w:t>
                  </w:r>
                  <w:r>
                    <w:rPr>
                      <w:rFonts w:hint="eastAsia" w:eastAsia="宋体" w:cs="Calibri"/>
                      <w:sz w:val="18"/>
                      <w:szCs w:val="18"/>
                    </w:rPr>
                    <w:t>～</w:t>
                  </w:r>
                  <w:r>
                    <w:rPr>
                      <w:rFonts w:eastAsia="宋体" w:cs="Calibri"/>
                      <w:sz w:val="18"/>
                      <w:szCs w:val="18"/>
                    </w:rPr>
                    <w:t xml:space="preserve">50km </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 xml:space="preserve"> = 5 km </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预测因子</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预测因子(非甲烷总烃</w:t>
                  </w:r>
                  <w:r>
                    <w:rPr>
                      <w:rFonts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包括二次</w:t>
                  </w:r>
                  <w:r>
                    <w:rPr>
                      <w:rFonts w:eastAsia="宋体" w:cs="Calibri"/>
                      <w:sz w:val="18"/>
                      <w:szCs w:val="18"/>
                    </w:rPr>
                    <w:t xml:space="preserve">PM2.5 </w:t>
                  </w:r>
                  <w:r>
                    <w:rPr>
                      <w:rFonts w:hint="eastAsia"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不包括二次</w:t>
                  </w:r>
                  <w:r>
                    <w:rPr>
                      <w:rFonts w:eastAsia="宋体" w:cs="Calibri"/>
                      <w:sz w:val="18"/>
                      <w:szCs w:val="18"/>
                    </w:rPr>
                    <w:t xml:space="preserve">PM2.5 </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正常排放短期浓度</w:t>
                  </w:r>
                  <w:r>
                    <w:rPr>
                      <w:rFonts w:eastAsia="宋体" w:cs="Calibri"/>
                      <w:sz w:val="18"/>
                      <w:szCs w:val="18"/>
                    </w:rPr>
                    <w:br w:type="textWrapping"/>
                  </w:r>
                  <w:r>
                    <w:rPr>
                      <w:rFonts w:hint="eastAsia" w:eastAsia="宋体" w:cs="Calibri"/>
                      <w:sz w:val="18"/>
                      <w:szCs w:val="18"/>
                    </w:rPr>
                    <w:t>贡献值</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2"/>
                          </w:rPr>
                        </m:ctrlPr>
                      </m:sSubPr>
                      <m:e>
                        <m:r>
                          <w:rPr>
                            <w:rFonts w:ascii="Cambria Math" w:hAnsi="Cambria Math"/>
                            <w:color w:val="000000"/>
                            <w:sz w:val="22"/>
                          </w:rPr>
                          <m:t>C</m:t>
                        </m:r>
                        <m:ctrlPr>
                          <w:rPr>
                            <w:rFonts w:ascii="Cambria Math" w:hAnsi="Cambria Math"/>
                            <w:i/>
                            <w:color w:val="000000"/>
                            <w:sz w:val="22"/>
                          </w:rPr>
                        </m:ctrlPr>
                      </m:e>
                      <m:sub>
                        <m:r>
                          <m:rPr>
                            <m:sty m:val="p"/>
                          </m:rPr>
                          <w:rPr>
                            <w:rFonts w:hint="eastAsia" w:ascii="Cambria Math" w:hAnsi="Cambria Math"/>
                            <w:color w:val="000000"/>
                            <w:sz w:val="22"/>
                          </w:rPr>
                          <m:t>本项目</m:t>
                        </m:r>
                        <m:ctrlPr>
                          <w:rPr>
                            <w:rFonts w:ascii="Cambria Math" w:hAnsi="Cambria Math"/>
                            <w:i/>
                            <w:color w:val="000000"/>
                            <w:sz w:val="22"/>
                          </w:rPr>
                        </m:ctrlPr>
                      </m:sub>
                    </m:sSub>
                  </m:oMath>
                  <w:r>
                    <w:rPr>
                      <w:rFonts w:hint="eastAsia" w:eastAsia="宋体" w:cs="Calibri"/>
                      <w:sz w:val="18"/>
                      <w:szCs w:val="18"/>
                    </w:rPr>
                    <w:t>最大占标率≤</w:t>
                  </w:r>
                  <w:r>
                    <w:rPr>
                      <w:rFonts w:eastAsia="宋体" w:cs="Calibri"/>
                      <w:sz w:val="18"/>
                      <w:szCs w:val="18"/>
                    </w:rPr>
                    <w:t>100%</w:t>
                  </w:r>
                  <w:r>
                    <w:rPr>
                      <w:rFonts w:hint="eastAsia" w:ascii="MS Mincho" w:hAnsi="MS Mincho" w:eastAsia="MS Mincho" w:cs="MS Mincho"/>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2"/>
                          </w:rPr>
                        </m:ctrlPr>
                      </m:sSubPr>
                      <m:e>
                        <m:r>
                          <w:rPr>
                            <w:rFonts w:ascii="Cambria Math" w:hAnsi="Cambria Math"/>
                            <w:color w:val="000000"/>
                            <w:sz w:val="22"/>
                          </w:rPr>
                          <m:t>C</m:t>
                        </m:r>
                        <m:ctrlPr>
                          <w:rPr>
                            <w:rFonts w:ascii="Cambria Math" w:hAnsi="Cambria Math"/>
                            <w:i/>
                            <w:color w:val="000000"/>
                            <w:sz w:val="22"/>
                          </w:rPr>
                        </m:ctrlPr>
                      </m:e>
                      <m:sub>
                        <m:r>
                          <m:rPr>
                            <m:sty m:val="p"/>
                          </m:rPr>
                          <w:rPr>
                            <w:rFonts w:hint="eastAsia" w:ascii="Cambria Math" w:hAnsi="Cambria Math"/>
                            <w:color w:val="000000"/>
                            <w:sz w:val="22"/>
                          </w:rPr>
                          <m:t>本项目</m:t>
                        </m:r>
                        <m:ctrlPr>
                          <w:rPr>
                            <w:rFonts w:ascii="Cambria Math" w:hAnsi="Cambria Math"/>
                            <w:i/>
                            <w:color w:val="000000"/>
                            <w:sz w:val="22"/>
                          </w:rPr>
                        </m:ctrlPr>
                      </m:sub>
                    </m:sSub>
                  </m:oMath>
                  <w:r>
                    <w:rPr>
                      <w:rFonts w:hint="eastAsia" w:eastAsia="宋体" w:cs="Calibri"/>
                      <w:sz w:val="18"/>
                      <w:szCs w:val="18"/>
                    </w:rPr>
                    <w:t>最大占标率＞</w:t>
                  </w:r>
                  <w:r>
                    <w:rPr>
                      <w:rFonts w:eastAsia="宋体" w:cs="Calibri"/>
                      <w:sz w:val="18"/>
                      <w:szCs w:val="18"/>
                    </w:rPr>
                    <w:t xml:space="preserve">100%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正常排放年均浓度</w:t>
                  </w:r>
                  <w:r>
                    <w:rPr>
                      <w:rFonts w:eastAsia="宋体" w:cs="Calibri"/>
                      <w:sz w:val="18"/>
                      <w:szCs w:val="18"/>
                    </w:rPr>
                    <w:br w:type="textWrapping"/>
                  </w:r>
                  <w:r>
                    <w:rPr>
                      <w:rFonts w:hint="eastAsia" w:eastAsia="宋体" w:cs="Calibri"/>
                      <w:sz w:val="18"/>
                      <w:szCs w:val="18"/>
                    </w:rPr>
                    <w:t>贡献值</w:t>
                  </w: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最大占标率</w:t>
                  </w:r>
                  <w:bookmarkStart w:id="7" w:name="OLE_LINK5"/>
                  <w:bookmarkStart w:id="8" w:name="OLE_LINK7"/>
                  <w:r>
                    <w:rPr>
                      <w:rFonts w:hint="eastAsia" w:eastAsia="宋体" w:cs="Calibri"/>
                      <w:sz w:val="18"/>
                      <w:szCs w:val="18"/>
                    </w:rPr>
                    <w:t>≤</w:t>
                  </w:r>
                  <w:bookmarkEnd w:id="7"/>
                  <w:bookmarkEnd w:id="8"/>
                  <w:r>
                    <w:rPr>
                      <w:rFonts w:eastAsia="宋体" w:cs="Calibri"/>
                      <w:sz w:val="18"/>
                      <w:szCs w:val="18"/>
                    </w:rPr>
                    <w:t>10%</w:t>
                  </w:r>
                  <w:r>
                    <w:rPr>
                      <w:rFonts w:hint="eastAsia"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最大标率＞</w:t>
                  </w:r>
                  <w:r>
                    <w:rPr>
                      <w:rFonts w:eastAsia="宋体" w:cs="Calibri"/>
                      <w:sz w:val="18"/>
                      <w:szCs w:val="18"/>
                    </w:rPr>
                    <w:t xml:space="preserve">10%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最大占标率≤</w:t>
                  </w:r>
                  <w:r>
                    <w:rPr>
                      <w:rFonts w:eastAsia="宋体" w:cs="Calibri"/>
                      <w:sz w:val="18"/>
                      <w:szCs w:val="18"/>
                    </w:rPr>
                    <w:t>30%</w:t>
                  </w:r>
                  <w:r>
                    <w:rPr>
                      <w:rFonts w:hint="eastAsia"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最大标率＞</w:t>
                  </w:r>
                  <w:r>
                    <w:rPr>
                      <w:rFonts w:eastAsia="宋体" w:cs="Calibri"/>
                      <w:sz w:val="18"/>
                      <w:szCs w:val="18"/>
                    </w:rPr>
                    <w:t xml:space="preserve">30%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非正常排放</w:t>
                  </w:r>
                  <w:r>
                    <w:rPr>
                      <w:rFonts w:eastAsia="宋体" w:cs="Calibri"/>
                      <w:sz w:val="18"/>
                      <w:szCs w:val="18"/>
                    </w:rPr>
                    <w:t>1h</w:t>
                  </w:r>
                  <w:r>
                    <w:rPr>
                      <w:rFonts w:hint="eastAsia" w:eastAsia="宋体" w:cs="Calibri"/>
                      <w:sz w:val="18"/>
                      <w:szCs w:val="18"/>
                    </w:rPr>
                    <w:t>浓度</w:t>
                  </w:r>
                  <w:r>
                    <w:rPr>
                      <w:rFonts w:eastAsia="宋体" w:cs="Calibri"/>
                      <w:sz w:val="18"/>
                      <w:szCs w:val="18"/>
                    </w:rPr>
                    <w:br w:type="textWrapping"/>
                  </w:r>
                  <w:r>
                    <w:rPr>
                      <w:rFonts w:hint="eastAsia" w:eastAsia="宋体" w:cs="Calibri"/>
                      <w:sz w:val="18"/>
                      <w:szCs w:val="18"/>
                    </w:rPr>
                    <w:t>贡献值</w:t>
                  </w:r>
                </w:p>
              </w:tc>
              <w:tc>
                <w:tcPr>
                  <w:tcW w:w="810" w:type="pct"/>
                  <w:gridSpan w:val="4"/>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非正常持续时长</w:t>
                  </w:r>
                  <w:r>
                    <w:rPr>
                      <w:rFonts w:eastAsia="宋体" w:cs="Calibri"/>
                      <w:sz w:val="18"/>
                      <w:szCs w:val="18"/>
                    </w:rPr>
                    <w:br w:type="textWrapping"/>
                  </w:r>
                  <w:r>
                    <w:rPr>
                      <w:rFonts w:hint="eastAsia" w:eastAsia="宋体" w:cs="Calibri"/>
                      <w:sz w:val="18"/>
                      <w:szCs w:val="18"/>
                    </w:rPr>
                    <w:t>（/）</w:t>
                  </w:r>
                  <w:r>
                    <w:rPr>
                      <w:rFonts w:eastAsia="宋体" w:cs="Calibri"/>
                      <w:sz w:val="18"/>
                      <w:szCs w:val="18"/>
                    </w:rPr>
                    <w:t>h</w:t>
                  </w:r>
                </w:p>
              </w:tc>
              <w:tc>
                <w:tcPr>
                  <w:tcW w:w="1471" w:type="pct"/>
                  <w:gridSpan w:val="10"/>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非正常</m:t>
                        </m:r>
                        <m:ctrlPr>
                          <w:rPr>
                            <w:rFonts w:ascii="Cambria Math" w:hAnsi="Cambria Math"/>
                            <w:i/>
                            <w:color w:val="000000"/>
                            <w:sz w:val="21"/>
                          </w:rPr>
                        </m:ctrlPr>
                      </m:sub>
                    </m:sSub>
                  </m:oMath>
                  <w:r>
                    <w:rPr>
                      <w:rFonts w:hint="eastAsia" w:eastAsia="宋体" w:cs="Calibri"/>
                      <w:sz w:val="18"/>
                      <w:szCs w:val="18"/>
                    </w:rPr>
                    <w:t>占标率≤</w:t>
                  </w:r>
                  <w:r>
                    <w:rPr>
                      <w:rFonts w:eastAsia="宋体" w:cs="Calibri"/>
                      <w:sz w:val="18"/>
                      <w:szCs w:val="18"/>
                    </w:rPr>
                    <w:t xml:space="preserve">100% </w:t>
                  </w:r>
                  <w:r>
                    <w:rPr>
                      <w:rFonts w:hint="eastAsia" w:eastAsia="宋体" w:cs="Calibri"/>
                      <w:sz w:val="18"/>
                      <w:szCs w:val="18"/>
                    </w:rPr>
                    <w:t>□</w:t>
                  </w:r>
                </w:p>
              </w:tc>
              <w:tc>
                <w:tcPr>
                  <w:tcW w:w="1247" w:type="pct"/>
                  <w:gridSpan w:val="6"/>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非正常</m:t>
                        </m:r>
                        <m:ctrlPr>
                          <w:rPr>
                            <w:rFonts w:ascii="Cambria Math" w:hAnsi="Cambria Math"/>
                            <w:i/>
                            <w:color w:val="000000"/>
                            <w:sz w:val="21"/>
                          </w:rPr>
                        </m:ctrlPr>
                      </m:sub>
                    </m:sSub>
                  </m:oMath>
                  <w:r>
                    <w:rPr>
                      <w:rFonts w:hint="eastAsia" w:eastAsia="宋体" w:cs="Calibri"/>
                      <w:sz w:val="18"/>
                      <w:szCs w:val="18"/>
                    </w:rPr>
                    <w:t>占标率＞</w:t>
                  </w:r>
                  <w:r>
                    <w:rPr>
                      <w:rFonts w:eastAsia="宋体" w:cs="Calibri"/>
                      <w:sz w:val="18"/>
                      <w:szCs w:val="18"/>
                    </w:rPr>
                    <w:t>100%</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保证率日平均浓度和年平均浓度叠加值</w:t>
                  </w:r>
                </w:p>
              </w:tc>
              <w:tc>
                <w:tcPr>
                  <w:tcW w:w="1669" w:type="pct"/>
                  <w:gridSpan w:val="11"/>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叠加</m:t>
                        </m:r>
                        <m:ctrlPr>
                          <w:rPr>
                            <w:rFonts w:ascii="Cambria Math" w:hAnsi="Cambria Math"/>
                            <w:i/>
                            <w:color w:val="000000"/>
                            <w:sz w:val="21"/>
                          </w:rPr>
                        </m:ctrlPr>
                      </m:sub>
                    </m:sSub>
                  </m:oMath>
                  <w:r>
                    <w:rPr>
                      <w:rFonts w:hint="eastAsia" w:eastAsia="宋体" w:cs="Calibri"/>
                      <w:sz w:val="18"/>
                      <w:szCs w:val="18"/>
                    </w:rPr>
                    <w:t>达标□</w:t>
                  </w:r>
                </w:p>
              </w:tc>
              <w:tc>
                <w:tcPr>
                  <w:tcW w:w="1858" w:type="pct"/>
                  <w:gridSpan w:val="9"/>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叠加</m:t>
                        </m:r>
                        <m:ctrlPr>
                          <w:rPr>
                            <w:rFonts w:ascii="Cambria Math" w:hAnsi="Cambria Math"/>
                            <w:i/>
                            <w:color w:val="000000"/>
                            <w:sz w:val="21"/>
                          </w:rPr>
                        </m:ctrlPr>
                      </m:sub>
                    </m:sSub>
                  </m:oMath>
                  <w:r>
                    <w:rPr>
                      <w:rFonts w:hint="eastAsia" w:eastAsia="宋体" w:cs="Calibri"/>
                      <w:sz w:val="18"/>
                      <w:szCs w:val="18"/>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区域环境质量的整体变化情况</w:t>
                  </w:r>
                </w:p>
              </w:tc>
              <w:tc>
                <w:tcPr>
                  <w:tcW w:w="1669" w:type="pct"/>
                  <w:gridSpan w:val="11"/>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 xml:space="preserve">k </w:t>
                  </w:r>
                  <w:r>
                    <w:rPr>
                      <w:rFonts w:hint="eastAsia" w:eastAsia="宋体" w:cs="Calibri"/>
                      <w:sz w:val="18"/>
                      <w:szCs w:val="18"/>
                    </w:rPr>
                    <w:t>≤</w:t>
                  </w:r>
                  <w:r>
                    <w:rPr>
                      <w:rFonts w:eastAsia="宋体" w:cs="Calibri"/>
                      <w:sz w:val="18"/>
                      <w:szCs w:val="18"/>
                    </w:rPr>
                    <w:t xml:space="preserve">-20% </w:t>
                  </w:r>
                  <w:r>
                    <w:rPr>
                      <w:rFonts w:hint="eastAsia" w:eastAsia="宋体" w:cs="Calibri"/>
                      <w:sz w:val="18"/>
                      <w:szCs w:val="18"/>
                    </w:rPr>
                    <w:t>□</w:t>
                  </w:r>
                </w:p>
              </w:tc>
              <w:tc>
                <w:tcPr>
                  <w:tcW w:w="1858" w:type="pct"/>
                  <w:gridSpan w:val="9"/>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 xml:space="preserve">k </w:t>
                  </w:r>
                  <w:r>
                    <w:rPr>
                      <w:rFonts w:hint="eastAsia" w:eastAsia="宋体" w:cs="Calibri"/>
                      <w:sz w:val="18"/>
                      <w:szCs w:val="18"/>
                    </w:rPr>
                    <w:t>＞</w:t>
                  </w:r>
                  <w:r>
                    <w:rPr>
                      <w:rFonts w:eastAsia="宋体" w:cs="Calibri"/>
                      <w:sz w:val="18"/>
                      <w:szCs w:val="18"/>
                    </w:rPr>
                    <w:t xml:space="preserve">-20%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环境监测</w:t>
                  </w:r>
                  <w:r>
                    <w:rPr>
                      <w:rFonts w:eastAsia="宋体" w:cs="Calibri"/>
                      <w:sz w:val="18"/>
                      <w:szCs w:val="18"/>
                    </w:rPr>
                    <w:br w:type="textWrapping"/>
                  </w:r>
                  <w:r>
                    <w:rPr>
                      <w:rFonts w:hint="eastAsia" w:eastAsia="宋体" w:cs="Calibri"/>
                      <w:sz w:val="18"/>
                      <w:szCs w:val="18"/>
                    </w:rPr>
                    <w:t>计划</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污染源监测</w:t>
                  </w:r>
                </w:p>
              </w:tc>
              <w:tc>
                <w:tcPr>
                  <w:tcW w:w="1545"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监测因子：（非甲烷总烃）</w:t>
                  </w:r>
                </w:p>
              </w:tc>
              <w:tc>
                <w:tcPr>
                  <w:tcW w:w="1316"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有组织废气监测 □</w:t>
                  </w:r>
                  <w:r>
                    <w:rPr>
                      <w:rFonts w:eastAsia="宋体" w:cs="Calibri"/>
                      <w:sz w:val="18"/>
                      <w:szCs w:val="18"/>
                    </w:rPr>
                    <w:br w:type="textWrapping"/>
                  </w:r>
                  <w:r>
                    <w:rPr>
                      <w:rFonts w:hint="eastAsia" w:eastAsia="宋体" w:cs="Calibri"/>
                      <w:sz w:val="18"/>
                      <w:szCs w:val="18"/>
                    </w:rPr>
                    <w:t>无组织废气监测</w:t>
                  </w:r>
                  <w:r>
                    <w:rPr>
                      <w:rFonts w:hint="eastAsia" w:ascii="MS Mincho" w:hAnsi="MS Mincho" w:eastAsia="MS Mincho" w:cs="MS Mincho"/>
                      <w:sz w:val="18"/>
                      <w:szCs w:val="18"/>
                    </w:rPr>
                    <w:t>☑</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无监测□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环境质量监测</w:t>
                  </w:r>
                </w:p>
              </w:tc>
              <w:tc>
                <w:tcPr>
                  <w:tcW w:w="1545"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监测因子：（/）</w:t>
                  </w:r>
                </w:p>
              </w:tc>
              <w:tc>
                <w:tcPr>
                  <w:tcW w:w="1316"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监测点位数（/）</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无监测</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评价结论</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环境影响</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可以接受</w:t>
                  </w:r>
                  <w:r>
                    <w:rPr>
                      <w:rFonts w:hint="eastAsia" w:ascii="MS Mincho" w:hAnsi="MS Mincho" w:eastAsia="MS Mincho" w:cs="MS Mincho"/>
                      <w:sz w:val="18"/>
                      <w:szCs w:val="18"/>
                    </w:rPr>
                    <w:t>☑</w:t>
                  </w:r>
                  <w:r>
                    <w:rPr>
                      <w:rFonts w:hint="eastAsia" w:eastAsia="宋体" w:cs="Calibri"/>
                      <w:sz w:val="18"/>
                      <w:szCs w:val="18"/>
                    </w:rPr>
                    <w:t>不可以接受□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大气环境防护距离</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距（/）厂界最远（/）</w:t>
                  </w:r>
                  <w:r>
                    <w:rPr>
                      <w:rFonts w:eastAsia="宋体" w:cs="Calibri"/>
                      <w:sz w:val="18"/>
                      <w:szCs w:val="18"/>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污染源年排放量</w:t>
                  </w:r>
                </w:p>
              </w:tc>
              <w:tc>
                <w:tcPr>
                  <w:tcW w:w="7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SO</w:t>
                  </w:r>
                  <w:r>
                    <w:rPr>
                      <w:rFonts w:eastAsia="宋体" w:cs="Calibri"/>
                      <w:sz w:val="18"/>
                      <w:szCs w:val="18"/>
                      <w:vertAlign w:val="subscript"/>
                    </w:rPr>
                    <w:t>2</w:t>
                  </w:r>
                  <w:r>
                    <w:rPr>
                      <w:rFonts w:eastAsia="宋体" w:cs="Calibri"/>
                      <w:sz w:val="18"/>
                      <w:szCs w:val="18"/>
                    </w:rPr>
                    <w:t>:</w:t>
                  </w:r>
                  <w:r>
                    <w:rPr>
                      <w:rFonts w:hint="eastAsia" w:eastAsia="宋体" w:cs="Calibri"/>
                      <w:sz w:val="18"/>
                      <w:szCs w:val="18"/>
                    </w:rPr>
                    <w:t>（/）</w:t>
                  </w:r>
                  <w:r>
                    <w:rPr>
                      <w:rFonts w:eastAsia="宋体" w:cs="Calibri"/>
                      <w:sz w:val="18"/>
                      <w:szCs w:val="18"/>
                    </w:rPr>
                    <w:t>t/a</w:t>
                  </w:r>
                </w:p>
              </w:tc>
              <w:tc>
                <w:tcPr>
                  <w:tcW w:w="785"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NOx:</w:t>
                  </w:r>
                  <w:r>
                    <w:rPr>
                      <w:rFonts w:hint="eastAsia" w:eastAsia="宋体" w:cs="Calibri"/>
                      <w:sz w:val="18"/>
                      <w:szCs w:val="18"/>
                    </w:rPr>
                    <w:t>（/）</w:t>
                  </w:r>
                  <w:r>
                    <w:rPr>
                      <w:rFonts w:eastAsia="宋体" w:cs="Calibri"/>
                      <w:sz w:val="18"/>
                      <w:szCs w:val="18"/>
                    </w:rPr>
                    <w:t>t/a</w:t>
                  </w:r>
                </w:p>
              </w:tc>
              <w:tc>
                <w:tcPr>
                  <w:tcW w:w="940"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颗粒物</w:t>
                  </w:r>
                  <w:r>
                    <w:rPr>
                      <w:rFonts w:eastAsia="宋体" w:cs="Calibri"/>
                      <w:sz w:val="18"/>
                      <w:szCs w:val="18"/>
                    </w:rPr>
                    <w:t>:</w:t>
                  </w:r>
                  <w:r>
                    <w:rPr>
                      <w:rFonts w:hint="eastAsia" w:eastAsia="宋体" w:cs="Calibri"/>
                      <w:sz w:val="18"/>
                      <w:szCs w:val="18"/>
                    </w:rPr>
                    <w:t>（/）</w:t>
                  </w:r>
                  <w:r>
                    <w:rPr>
                      <w:rFonts w:eastAsia="宋体" w:cs="Calibri"/>
                      <w:sz w:val="18"/>
                      <w:szCs w:val="18"/>
                    </w:rPr>
                    <w:t>t/a</w:t>
                  </w:r>
                </w:p>
              </w:tc>
              <w:tc>
                <w:tcPr>
                  <w:tcW w:w="1009"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VOCs:</w:t>
                  </w:r>
                  <w:r>
                    <w:rPr>
                      <w:rFonts w:hint="eastAsia" w:eastAsia="宋体" w:cs="Calibri"/>
                      <w:sz w:val="18"/>
                      <w:szCs w:val="18"/>
                    </w:rPr>
                    <w:t>（0.3946）</w:t>
                  </w:r>
                  <w:r>
                    <w:rPr>
                      <w:rFonts w:eastAsia="宋体" w:cs="Calibri"/>
                      <w:sz w:val="18"/>
                      <w:szCs w:val="18"/>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000" w:type="pct"/>
                  <w:gridSpan w:val="2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注：“□”为勾选项，填“√”；</w:t>
                  </w:r>
                  <w:r>
                    <w:rPr>
                      <w:rFonts w:eastAsia="宋体" w:cs="Calibri"/>
                      <w:sz w:val="18"/>
                      <w:szCs w:val="18"/>
                    </w:rPr>
                    <w:t>“</w:t>
                  </w:r>
                  <w:r>
                    <w:rPr>
                      <w:rFonts w:hint="eastAsia" w:eastAsia="宋体" w:cs="Calibri"/>
                      <w:sz w:val="18"/>
                      <w:szCs w:val="18"/>
                    </w:rPr>
                    <w:t>（）</w:t>
                  </w:r>
                  <w:r>
                    <w:rPr>
                      <w:rFonts w:eastAsia="宋体" w:cs="Calibri"/>
                      <w:sz w:val="18"/>
                      <w:szCs w:val="18"/>
                    </w:rPr>
                    <w:t xml:space="preserve">” </w:t>
                  </w:r>
                  <w:r>
                    <w:rPr>
                      <w:rFonts w:hint="eastAsia" w:eastAsia="宋体" w:cs="Calibri"/>
                      <w:sz w:val="18"/>
                      <w:szCs w:val="18"/>
                    </w:rPr>
                    <w:t>为内容填写项</w:t>
                  </w:r>
                </w:p>
              </w:tc>
            </w:tr>
          </w:tbl>
          <w:p>
            <w:pPr>
              <w:widowControl w:val="0"/>
              <w:snapToGrid w:val="0"/>
              <w:ind w:firstLine="600" w:firstLineChars="250"/>
              <w:jc w:val="both"/>
              <w:rPr>
                <w:rFonts w:eastAsia="宋体"/>
                <w:sz w:val="24"/>
                <w:szCs w:val="24"/>
              </w:rPr>
            </w:pPr>
            <w:r>
              <w:rPr>
                <w:rFonts w:hint="eastAsia" w:eastAsia="宋体"/>
                <w:sz w:val="24"/>
                <w:szCs w:val="24"/>
              </w:rPr>
              <w:t>综上所述，本项目大气环境评价工作等级为二级，项目属于非达标区，污染源下风向最大落地浓度占标率较小，无超标区域，无需设置大气环境防护距离，污染物年排放量为非甲烷总烃0.3946t/a。建设项目大气环境影响可接受。</w:t>
            </w:r>
          </w:p>
          <w:p>
            <w:pPr>
              <w:ind w:firstLine="482" w:firstLineChars="200"/>
              <w:rPr>
                <w:rFonts w:eastAsia="宋体"/>
                <w:b/>
                <w:sz w:val="24"/>
                <w:szCs w:val="24"/>
              </w:rPr>
            </w:pPr>
            <w:r>
              <w:rPr>
                <w:rFonts w:hint="eastAsia" w:eastAsia="宋体"/>
                <w:b/>
                <w:sz w:val="24"/>
                <w:szCs w:val="24"/>
              </w:rPr>
              <w:t>7.2.2</w:t>
            </w:r>
            <w:r>
              <w:rPr>
                <w:rFonts w:eastAsia="宋体"/>
                <w:b/>
                <w:sz w:val="24"/>
                <w:szCs w:val="24"/>
              </w:rPr>
              <w:t>水环境影响分析</w:t>
            </w:r>
          </w:p>
          <w:p>
            <w:pPr>
              <w:spacing w:line="500" w:lineRule="exact"/>
              <w:ind w:firstLine="492" w:firstLineChars="200"/>
              <w:jc w:val="both"/>
              <w:rPr>
                <w:rFonts w:eastAsia="宋体"/>
                <w:spacing w:val="20"/>
                <w:kern w:val="0"/>
                <w:sz w:val="24"/>
                <w:szCs w:val="24"/>
              </w:rPr>
            </w:pPr>
            <w:r>
              <w:rPr>
                <w:rFonts w:eastAsia="宋体"/>
                <w:color w:val="000000"/>
                <w:spacing w:val="3"/>
                <w:kern w:val="0"/>
                <w:sz w:val="24"/>
                <w:szCs w:val="24"/>
              </w:rPr>
              <w:t>项目废水为生活污水</w:t>
            </w:r>
            <w:r>
              <w:rPr>
                <w:rFonts w:eastAsia="宋体"/>
                <w:kern w:val="0"/>
                <w:sz w:val="24"/>
                <w:szCs w:val="24"/>
              </w:rPr>
              <w:t>。项目</w:t>
            </w:r>
            <w:r>
              <w:rPr>
                <w:rFonts w:eastAsia="宋体"/>
                <w:kern w:val="0"/>
                <w:sz w:val="24"/>
              </w:rPr>
              <w:t>生活污水经化粪池处理后</w:t>
            </w:r>
            <w:r>
              <w:rPr>
                <w:rFonts w:eastAsiaTheme="minorEastAsia"/>
                <w:kern w:val="0"/>
                <w:sz w:val="24"/>
                <w:szCs w:val="24"/>
              </w:rPr>
              <w:t>达到沭阳</w:t>
            </w:r>
            <w:r>
              <w:rPr>
                <w:rFonts w:hint="eastAsia" w:eastAsiaTheme="minorEastAsia"/>
                <w:kern w:val="0"/>
                <w:sz w:val="24"/>
                <w:szCs w:val="24"/>
              </w:rPr>
              <w:t>县城东污水处理厂</w:t>
            </w:r>
            <w:r>
              <w:rPr>
                <w:rFonts w:eastAsiaTheme="minorEastAsia"/>
                <w:kern w:val="0"/>
                <w:sz w:val="24"/>
                <w:szCs w:val="24"/>
              </w:rPr>
              <w:t>接管标准后，排入市政污水管网，由沭阳</w:t>
            </w:r>
            <w:r>
              <w:rPr>
                <w:rFonts w:hint="eastAsia" w:eastAsiaTheme="minorEastAsia"/>
                <w:kern w:val="0"/>
                <w:sz w:val="24"/>
                <w:szCs w:val="24"/>
              </w:rPr>
              <w:t>县城东污水处理厂</w:t>
            </w:r>
            <w:r>
              <w:rPr>
                <w:rFonts w:eastAsiaTheme="minorEastAsia"/>
                <w:kern w:val="0"/>
                <w:sz w:val="24"/>
                <w:szCs w:val="24"/>
              </w:rPr>
              <w:t>统一处理后排放。</w:t>
            </w:r>
            <w:r>
              <w:rPr>
                <w:rFonts w:eastAsia="宋体"/>
                <w:kern w:val="0"/>
                <w:sz w:val="24"/>
                <w:szCs w:val="24"/>
              </w:rPr>
              <w:t>排放水量为</w:t>
            </w:r>
            <w:r>
              <w:rPr>
                <w:rFonts w:hint="eastAsia" w:eastAsia="宋体"/>
                <w:kern w:val="0"/>
                <w:sz w:val="24"/>
                <w:szCs w:val="24"/>
              </w:rPr>
              <w:t>686.4</w:t>
            </w:r>
            <w:r>
              <w:rPr>
                <w:rFonts w:eastAsia="宋体"/>
                <w:spacing w:val="3"/>
                <w:kern w:val="0"/>
                <w:sz w:val="24"/>
                <w:szCs w:val="24"/>
              </w:rPr>
              <w:t>m</w:t>
            </w:r>
            <w:r>
              <w:rPr>
                <w:rFonts w:eastAsia="宋体"/>
                <w:spacing w:val="3"/>
                <w:kern w:val="0"/>
                <w:sz w:val="24"/>
                <w:szCs w:val="24"/>
                <w:vertAlign w:val="superscript"/>
              </w:rPr>
              <w:t>3</w:t>
            </w:r>
            <w:r>
              <w:rPr>
                <w:rFonts w:eastAsia="宋体"/>
                <w:spacing w:val="3"/>
                <w:kern w:val="0"/>
                <w:sz w:val="24"/>
                <w:szCs w:val="24"/>
              </w:rPr>
              <w:t>/a，</w:t>
            </w:r>
            <w:r>
              <w:rPr>
                <w:rFonts w:eastAsia="宋体"/>
                <w:kern w:val="0"/>
                <w:sz w:val="24"/>
                <w:szCs w:val="24"/>
              </w:rPr>
              <w:t>污染物浓度分别为</w:t>
            </w:r>
            <w:r>
              <w:rPr>
                <w:rFonts w:eastAsia="宋体"/>
                <w:spacing w:val="20"/>
                <w:kern w:val="0"/>
                <w:sz w:val="24"/>
                <w:szCs w:val="24"/>
              </w:rPr>
              <w:t>COD</w:t>
            </w:r>
            <w:r>
              <w:rPr>
                <w:rFonts w:hint="eastAsia" w:eastAsia="宋体"/>
                <w:spacing w:val="20"/>
                <w:kern w:val="0"/>
                <w:sz w:val="24"/>
                <w:szCs w:val="24"/>
              </w:rPr>
              <w:t>30</w:t>
            </w:r>
            <w:r>
              <w:rPr>
                <w:rFonts w:eastAsia="宋体"/>
                <w:spacing w:val="20"/>
                <w:kern w:val="0"/>
                <w:sz w:val="24"/>
                <w:szCs w:val="24"/>
              </w:rPr>
              <w:t>0mg/L、SS2</w:t>
            </w:r>
            <w:r>
              <w:rPr>
                <w:rFonts w:hint="eastAsia" w:eastAsia="宋体"/>
                <w:spacing w:val="20"/>
                <w:kern w:val="0"/>
                <w:sz w:val="24"/>
                <w:szCs w:val="24"/>
              </w:rPr>
              <w:t>0</w:t>
            </w:r>
            <w:r>
              <w:rPr>
                <w:rFonts w:eastAsia="宋体"/>
                <w:spacing w:val="20"/>
                <w:kern w:val="0"/>
                <w:sz w:val="24"/>
                <w:szCs w:val="24"/>
              </w:rPr>
              <w:t>0mg/L、</w:t>
            </w:r>
            <w:r>
              <w:rPr>
                <w:rFonts w:eastAsia="宋体"/>
                <w:bCs/>
                <w:kern w:val="0"/>
                <w:sz w:val="24"/>
                <w:szCs w:val="24"/>
              </w:rPr>
              <w:t>氨氮25</w:t>
            </w:r>
            <w:r>
              <w:rPr>
                <w:rFonts w:eastAsia="宋体"/>
                <w:spacing w:val="20"/>
                <w:kern w:val="0"/>
                <w:sz w:val="24"/>
                <w:szCs w:val="24"/>
              </w:rPr>
              <w:t>mg/L、</w:t>
            </w:r>
            <w:r>
              <w:rPr>
                <w:rFonts w:eastAsia="宋体"/>
                <w:bCs/>
                <w:kern w:val="0"/>
                <w:sz w:val="24"/>
                <w:szCs w:val="24"/>
              </w:rPr>
              <w:t>TP3</w:t>
            </w:r>
            <w:r>
              <w:rPr>
                <w:rFonts w:eastAsia="宋体"/>
                <w:spacing w:val="20"/>
                <w:kern w:val="0"/>
                <w:sz w:val="24"/>
                <w:szCs w:val="24"/>
              </w:rPr>
              <w:t>mg/L</w:t>
            </w:r>
            <w:r>
              <w:rPr>
                <w:rFonts w:hint="eastAsia" w:eastAsia="宋体"/>
                <w:spacing w:val="20"/>
                <w:kern w:val="0"/>
                <w:sz w:val="24"/>
                <w:szCs w:val="24"/>
              </w:rPr>
              <w:t>、TN45</w:t>
            </w:r>
            <w:r>
              <w:rPr>
                <w:rFonts w:eastAsia="宋体"/>
                <w:spacing w:val="20"/>
                <w:kern w:val="0"/>
                <w:sz w:val="24"/>
                <w:szCs w:val="24"/>
              </w:rPr>
              <w:t>mg/L。</w:t>
            </w:r>
          </w:p>
          <w:p>
            <w:pPr>
              <w:spacing w:line="500" w:lineRule="exact"/>
              <w:ind w:firstLine="480" w:firstLineChars="200"/>
              <w:rPr>
                <w:rFonts w:eastAsia="宋体"/>
                <w:kern w:val="0"/>
                <w:sz w:val="24"/>
                <w:szCs w:val="24"/>
              </w:rPr>
            </w:pPr>
            <w:r>
              <w:rPr>
                <w:rFonts w:eastAsia="宋体"/>
                <w:kern w:val="0"/>
                <w:sz w:val="24"/>
                <w:szCs w:val="24"/>
              </w:rPr>
              <w:t>（1）评价等级</w:t>
            </w:r>
          </w:p>
          <w:p>
            <w:pPr>
              <w:spacing w:line="500" w:lineRule="exact"/>
              <w:ind w:firstLine="480" w:firstLineChars="200"/>
              <w:rPr>
                <w:rFonts w:eastAsia="宋体"/>
                <w:kern w:val="0"/>
                <w:sz w:val="24"/>
                <w:szCs w:val="24"/>
              </w:rPr>
            </w:pPr>
            <w:r>
              <w:rPr>
                <w:rFonts w:eastAsia="宋体"/>
                <w:kern w:val="0"/>
                <w:sz w:val="24"/>
                <w:szCs w:val="24"/>
              </w:rPr>
              <w:t>地表水评价等级见表7-</w:t>
            </w:r>
            <w:r>
              <w:rPr>
                <w:rFonts w:hint="eastAsia" w:eastAsia="宋体"/>
                <w:kern w:val="0"/>
                <w:sz w:val="24"/>
                <w:szCs w:val="24"/>
              </w:rPr>
              <w:t>9。</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w:t>
            </w:r>
            <w:r>
              <w:rPr>
                <w:rFonts w:hint="eastAsia" w:eastAsia="宋体"/>
                <w:b/>
                <w:color w:val="000000"/>
                <w:kern w:val="0"/>
                <w:sz w:val="24"/>
                <w:szCs w:val="21"/>
              </w:rPr>
              <w:t>9</w:t>
            </w:r>
            <w:r>
              <w:rPr>
                <w:rFonts w:eastAsia="宋体"/>
                <w:b/>
                <w:color w:val="000000"/>
                <w:kern w:val="0"/>
                <w:sz w:val="24"/>
                <w:szCs w:val="21"/>
              </w:rPr>
              <w:t xml:space="preserve">  地表水评价等级判别表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585"/>
              <w:gridCol w:w="1101"/>
              <w:gridCol w:w="6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Merge w:val="restart"/>
                  <w:vAlign w:val="center"/>
                </w:tcPr>
                <w:p>
                  <w:pPr>
                    <w:spacing w:line="240" w:lineRule="auto"/>
                    <w:jc w:val="center"/>
                    <w:rPr>
                      <w:rFonts w:eastAsia="宋体"/>
                      <w:color w:val="000000"/>
                      <w:kern w:val="0"/>
                      <w:sz w:val="21"/>
                      <w:szCs w:val="21"/>
                    </w:rPr>
                  </w:pPr>
                  <w:r>
                    <w:rPr>
                      <w:rFonts w:eastAsia="宋体"/>
                      <w:color w:val="000000"/>
                      <w:kern w:val="0"/>
                      <w:sz w:val="21"/>
                      <w:szCs w:val="21"/>
                    </w:rPr>
                    <w:t>评价工作等级</w:t>
                  </w:r>
                </w:p>
              </w:tc>
              <w:tc>
                <w:tcPr>
                  <w:tcW w:w="7194" w:type="dxa"/>
                  <w:gridSpan w:val="2"/>
                  <w:vAlign w:val="center"/>
                </w:tcPr>
                <w:p>
                  <w:pPr>
                    <w:spacing w:line="240" w:lineRule="auto"/>
                    <w:jc w:val="center"/>
                    <w:rPr>
                      <w:rFonts w:eastAsia="宋体"/>
                      <w:color w:val="000000"/>
                      <w:kern w:val="0"/>
                      <w:sz w:val="21"/>
                      <w:szCs w:val="21"/>
                    </w:rPr>
                  </w:pPr>
                  <w:r>
                    <w:rPr>
                      <w:rFonts w:eastAsia="宋体"/>
                      <w:color w:val="000000"/>
                      <w:kern w:val="0"/>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Merge w:val="continue"/>
                  <w:vAlign w:val="center"/>
                </w:tcPr>
                <w:p>
                  <w:pPr>
                    <w:spacing w:line="240" w:lineRule="auto"/>
                    <w:jc w:val="center"/>
                    <w:rPr>
                      <w:rFonts w:eastAsia="宋体"/>
                      <w:color w:val="000000"/>
                      <w:kern w:val="0"/>
                      <w:sz w:val="21"/>
                      <w:szCs w:val="21"/>
                    </w:rPr>
                  </w:pP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排放方式</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废水排放量Q/（m</w:t>
                  </w:r>
                  <w:r>
                    <w:rPr>
                      <w:rFonts w:eastAsia="宋体"/>
                      <w:color w:val="000000"/>
                      <w:kern w:val="0"/>
                      <w:sz w:val="21"/>
                      <w:szCs w:val="21"/>
                      <w:vertAlign w:val="superscript"/>
                    </w:rPr>
                    <w:t>3</w:t>
                  </w:r>
                  <w:r>
                    <w:rPr>
                      <w:rFonts w:eastAsia="宋体"/>
                      <w:color w:val="000000"/>
                      <w:kern w:val="0"/>
                      <w:sz w:val="21"/>
                      <w:szCs w:val="21"/>
                    </w:rPr>
                    <w:t>/d）；水污染物当量数W/（无量纲）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一级</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二级</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三级A</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Q&lt;200且W&lt;6000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三级B</w:t>
                  </w:r>
                </w:p>
              </w:tc>
              <w:tc>
                <w:tcPr>
                  <w:tcW w:w="1101"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间接排放</w:t>
                  </w:r>
                </w:p>
              </w:tc>
              <w:tc>
                <w:tcPr>
                  <w:tcW w:w="6093"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w:t>
                  </w:r>
                </w:p>
              </w:tc>
            </w:tr>
          </w:tbl>
          <w:p>
            <w:pPr>
              <w:spacing w:line="500" w:lineRule="exact"/>
              <w:ind w:firstLine="480" w:firstLineChars="200"/>
              <w:rPr>
                <w:rFonts w:eastAsia="宋体"/>
                <w:color w:val="000000"/>
                <w:kern w:val="0"/>
                <w:sz w:val="24"/>
                <w:szCs w:val="24"/>
              </w:rPr>
            </w:pPr>
            <w:r>
              <w:rPr>
                <w:rFonts w:eastAsia="宋体"/>
                <w:color w:val="000000"/>
                <w:kern w:val="0"/>
                <w:sz w:val="24"/>
                <w:szCs w:val="24"/>
              </w:rPr>
              <w:t>根据《环境影响评价技术导则 地表水环境》（HJ 2.3-2018）分级判据，确定本项目地表水环境影响评价工作等级为三级B。因此无需进行进一步预测与评价，只需对污染物排放量及相关信息进行核算。</w:t>
            </w:r>
          </w:p>
          <w:p>
            <w:pPr>
              <w:spacing w:line="500" w:lineRule="exact"/>
              <w:ind w:firstLine="480" w:firstLineChars="200"/>
              <w:rPr>
                <w:rFonts w:eastAsia="宋体"/>
                <w:color w:val="000000"/>
                <w:kern w:val="0"/>
                <w:sz w:val="24"/>
                <w:szCs w:val="24"/>
              </w:rPr>
            </w:pPr>
            <w:r>
              <w:rPr>
                <w:rFonts w:eastAsia="宋体"/>
                <w:color w:val="000000"/>
                <w:kern w:val="0"/>
                <w:sz w:val="24"/>
                <w:szCs w:val="24"/>
              </w:rPr>
              <w:t>（2）废水类别、污染物及污染治理设施信息</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0</w:t>
            </w:r>
            <w:r>
              <w:rPr>
                <w:rFonts w:eastAsia="宋体"/>
                <w:b/>
                <w:color w:val="000000"/>
                <w:kern w:val="0"/>
                <w:sz w:val="24"/>
                <w:szCs w:val="21"/>
              </w:rPr>
              <w:t xml:space="preserve"> 废水类别、污染物及污染治理设施信息表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82"/>
              <w:gridCol w:w="582"/>
              <w:gridCol w:w="655"/>
              <w:gridCol w:w="786"/>
              <w:gridCol w:w="1980"/>
              <w:gridCol w:w="716"/>
              <w:gridCol w:w="794"/>
              <w:gridCol w:w="716"/>
              <w:gridCol w:w="938"/>
              <w:gridCol w:w="846"/>
              <w:gridCol w:w="6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序号</w:t>
                  </w:r>
                </w:p>
              </w:tc>
              <w:tc>
                <w:tcPr>
                  <w:tcW w:w="582"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废水类别(a)</w:t>
                  </w:r>
                </w:p>
              </w:tc>
              <w:tc>
                <w:tcPr>
                  <w:tcW w:w="655"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污染物种类(b)</w:t>
                  </w:r>
                </w:p>
              </w:tc>
              <w:tc>
                <w:tcPr>
                  <w:tcW w:w="786"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排放去向(c)</w:t>
                  </w:r>
                </w:p>
              </w:tc>
              <w:tc>
                <w:tcPr>
                  <w:tcW w:w="1980"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排放规律</w:t>
                  </w:r>
                </w:p>
                <w:p>
                  <w:pPr>
                    <w:widowControl w:val="0"/>
                    <w:spacing w:line="240" w:lineRule="auto"/>
                    <w:jc w:val="center"/>
                    <w:rPr>
                      <w:rFonts w:eastAsia="宋体"/>
                      <w:b/>
                      <w:color w:val="000000"/>
                      <w:sz w:val="21"/>
                      <w:szCs w:val="21"/>
                    </w:rPr>
                  </w:pPr>
                  <w:r>
                    <w:rPr>
                      <w:rFonts w:eastAsia="宋体"/>
                      <w:b/>
                      <w:color w:val="000000"/>
                      <w:sz w:val="21"/>
                      <w:szCs w:val="21"/>
                    </w:rPr>
                    <w:t>(d)</w:t>
                  </w:r>
                </w:p>
              </w:tc>
              <w:tc>
                <w:tcPr>
                  <w:tcW w:w="2226" w:type="dxa"/>
                  <w:gridSpan w:val="3"/>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w:t>
                  </w:r>
                </w:p>
              </w:tc>
              <w:tc>
                <w:tcPr>
                  <w:tcW w:w="938"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排放口编号(f)</w:t>
                  </w:r>
                </w:p>
              </w:tc>
              <w:tc>
                <w:tcPr>
                  <w:tcW w:w="846"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排放口设置是否满足要求(g)</w:t>
                  </w:r>
                </w:p>
              </w:tc>
              <w:tc>
                <w:tcPr>
                  <w:tcW w:w="675"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Merge w:val="continue"/>
                  <w:vAlign w:val="center"/>
                </w:tcPr>
                <w:p>
                  <w:pPr>
                    <w:widowControl w:val="0"/>
                    <w:spacing w:line="240" w:lineRule="auto"/>
                    <w:jc w:val="center"/>
                    <w:rPr>
                      <w:rFonts w:eastAsia="宋体"/>
                      <w:b/>
                      <w:color w:val="000000"/>
                      <w:sz w:val="21"/>
                      <w:szCs w:val="21"/>
                    </w:rPr>
                  </w:pPr>
                </w:p>
              </w:tc>
              <w:tc>
                <w:tcPr>
                  <w:tcW w:w="582" w:type="dxa"/>
                  <w:vMerge w:val="continue"/>
                  <w:vAlign w:val="center"/>
                </w:tcPr>
                <w:p>
                  <w:pPr>
                    <w:widowControl w:val="0"/>
                    <w:spacing w:line="240" w:lineRule="auto"/>
                    <w:jc w:val="center"/>
                    <w:rPr>
                      <w:rFonts w:eastAsia="宋体"/>
                      <w:b/>
                      <w:color w:val="000000"/>
                      <w:sz w:val="21"/>
                      <w:szCs w:val="21"/>
                    </w:rPr>
                  </w:pPr>
                </w:p>
              </w:tc>
              <w:tc>
                <w:tcPr>
                  <w:tcW w:w="655" w:type="dxa"/>
                  <w:vMerge w:val="continue"/>
                  <w:vAlign w:val="center"/>
                </w:tcPr>
                <w:p>
                  <w:pPr>
                    <w:widowControl w:val="0"/>
                    <w:spacing w:line="240" w:lineRule="auto"/>
                    <w:jc w:val="center"/>
                    <w:rPr>
                      <w:rFonts w:eastAsia="宋体"/>
                      <w:b/>
                      <w:color w:val="000000"/>
                      <w:sz w:val="21"/>
                      <w:szCs w:val="21"/>
                    </w:rPr>
                  </w:pPr>
                </w:p>
              </w:tc>
              <w:tc>
                <w:tcPr>
                  <w:tcW w:w="786" w:type="dxa"/>
                  <w:vMerge w:val="continue"/>
                  <w:vAlign w:val="center"/>
                </w:tcPr>
                <w:p>
                  <w:pPr>
                    <w:widowControl w:val="0"/>
                    <w:spacing w:line="240" w:lineRule="auto"/>
                    <w:jc w:val="center"/>
                    <w:rPr>
                      <w:rFonts w:eastAsia="宋体"/>
                      <w:b/>
                      <w:color w:val="000000"/>
                      <w:sz w:val="21"/>
                      <w:szCs w:val="21"/>
                    </w:rPr>
                  </w:pPr>
                </w:p>
              </w:tc>
              <w:tc>
                <w:tcPr>
                  <w:tcW w:w="1980" w:type="dxa"/>
                  <w:vMerge w:val="continue"/>
                  <w:vAlign w:val="center"/>
                </w:tcPr>
                <w:p>
                  <w:pPr>
                    <w:widowControl w:val="0"/>
                    <w:spacing w:line="240" w:lineRule="auto"/>
                    <w:jc w:val="center"/>
                    <w:rPr>
                      <w:rFonts w:eastAsia="宋体"/>
                      <w:b/>
                      <w:color w:val="000000"/>
                      <w:sz w:val="21"/>
                      <w:szCs w:val="21"/>
                    </w:rPr>
                  </w:pPr>
                </w:p>
              </w:tc>
              <w:tc>
                <w:tcPr>
                  <w:tcW w:w="716"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污染治理设施编号</w:t>
                  </w:r>
                </w:p>
              </w:tc>
              <w:tc>
                <w:tcPr>
                  <w:tcW w:w="794"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污染治理设施名称(e)</w:t>
                  </w:r>
                </w:p>
              </w:tc>
              <w:tc>
                <w:tcPr>
                  <w:tcW w:w="716"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污染治理设施工艺</w:t>
                  </w:r>
                </w:p>
              </w:tc>
              <w:tc>
                <w:tcPr>
                  <w:tcW w:w="938" w:type="dxa"/>
                  <w:vMerge w:val="continue"/>
                  <w:vAlign w:val="center"/>
                </w:tcPr>
                <w:p>
                  <w:pPr>
                    <w:widowControl w:val="0"/>
                    <w:spacing w:line="240" w:lineRule="auto"/>
                    <w:jc w:val="center"/>
                    <w:rPr>
                      <w:rFonts w:eastAsia="宋体"/>
                      <w:b/>
                      <w:color w:val="000000"/>
                      <w:sz w:val="21"/>
                      <w:szCs w:val="21"/>
                    </w:rPr>
                  </w:pPr>
                </w:p>
              </w:tc>
              <w:tc>
                <w:tcPr>
                  <w:tcW w:w="846" w:type="dxa"/>
                  <w:vMerge w:val="continue"/>
                  <w:vAlign w:val="center"/>
                </w:tcPr>
                <w:p>
                  <w:pPr>
                    <w:widowControl w:val="0"/>
                    <w:spacing w:line="240" w:lineRule="auto"/>
                    <w:jc w:val="center"/>
                    <w:rPr>
                      <w:rFonts w:eastAsia="宋体"/>
                      <w:b/>
                      <w:color w:val="000000"/>
                      <w:sz w:val="21"/>
                      <w:szCs w:val="21"/>
                    </w:rPr>
                  </w:pPr>
                </w:p>
              </w:tc>
              <w:tc>
                <w:tcPr>
                  <w:tcW w:w="675" w:type="dxa"/>
                  <w:vMerge w:val="continue"/>
                  <w:vAlign w:val="center"/>
                </w:tcPr>
                <w:p>
                  <w:pPr>
                    <w:widowControl w:val="0"/>
                    <w:spacing w:line="240" w:lineRule="auto"/>
                    <w:jc w:val="center"/>
                    <w:rPr>
                      <w:rFonts w:eastAsia="宋体"/>
                      <w:b/>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Align w:val="center"/>
                </w:tcPr>
                <w:p>
                  <w:pPr>
                    <w:widowControl w:val="0"/>
                    <w:spacing w:line="240" w:lineRule="auto"/>
                    <w:jc w:val="center"/>
                    <w:rPr>
                      <w:rFonts w:eastAsia="宋体"/>
                      <w:color w:val="000000"/>
                      <w:sz w:val="21"/>
                      <w:szCs w:val="21"/>
                    </w:rPr>
                  </w:pPr>
                  <w:r>
                    <w:rPr>
                      <w:rFonts w:eastAsia="宋体"/>
                      <w:color w:val="000000"/>
                      <w:sz w:val="21"/>
                      <w:szCs w:val="21"/>
                    </w:rPr>
                    <w:t xml:space="preserve">1 </w:t>
                  </w:r>
                </w:p>
              </w:tc>
              <w:tc>
                <w:tcPr>
                  <w:tcW w:w="582" w:type="dxa"/>
                  <w:vAlign w:val="center"/>
                </w:tcPr>
                <w:p>
                  <w:pPr>
                    <w:widowControl w:val="0"/>
                    <w:spacing w:line="240" w:lineRule="auto"/>
                    <w:jc w:val="center"/>
                    <w:rPr>
                      <w:rFonts w:eastAsia="宋体"/>
                      <w:color w:val="000000"/>
                      <w:sz w:val="21"/>
                      <w:szCs w:val="21"/>
                    </w:rPr>
                  </w:pPr>
                  <w:r>
                    <w:rPr>
                      <w:rFonts w:eastAsia="宋体"/>
                      <w:color w:val="000000"/>
                      <w:sz w:val="21"/>
                      <w:szCs w:val="21"/>
                    </w:rPr>
                    <w:t>生活污水</w:t>
                  </w:r>
                </w:p>
              </w:tc>
              <w:tc>
                <w:tcPr>
                  <w:tcW w:w="655"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p>
                  <w:pPr>
                    <w:pStyle w:val="2"/>
                    <w:ind w:firstLine="0" w:firstLineChars="0"/>
                    <w:rPr>
                      <w:rFonts w:eastAsia="宋体"/>
                      <w:color w:val="000000"/>
                      <w:sz w:val="21"/>
                      <w:szCs w:val="21"/>
                    </w:rPr>
                  </w:pPr>
                  <w:r>
                    <w:rPr>
                      <w:rFonts w:hint="eastAsia" w:eastAsia="宋体"/>
                      <w:color w:val="000000"/>
                      <w:sz w:val="21"/>
                      <w:szCs w:val="21"/>
                    </w:rPr>
                    <w:t>总氮</w:t>
                  </w:r>
                </w:p>
              </w:tc>
              <w:tc>
                <w:tcPr>
                  <w:tcW w:w="786" w:type="dxa"/>
                  <w:vAlign w:val="center"/>
                </w:tcPr>
                <w:p>
                  <w:pPr>
                    <w:widowControl w:val="0"/>
                    <w:spacing w:line="240" w:lineRule="auto"/>
                    <w:jc w:val="center"/>
                    <w:rPr>
                      <w:rFonts w:eastAsia="宋体"/>
                      <w:color w:val="000000"/>
                      <w:sz w:val="21"/>
                      <w:szCs w:val="21"/>
                    </w:rPr>
                  </w:pPr>
                  <w:r>
                    <w:rPr>
                      <w:rFonts w:eastAsia="宋体"/>
                      <w:color w:val="000000"/>
                      <w:sz w:val="21"/>
                      <w:szCs w:val="21"/>
                    </w:rPr>
                    <w:t>沭阳</w:t>
                  </w:r>
                  <w:r>
                    <w:rPr>
                      <w:rFonts w:hint="eastAsia" w:eastAsia="宋体"/>
                      <w:color w:val="000000"/>
                      <w:sz w:val="21"/>
                      <w:szCs w:val="21"/>
                    </w:rPr>
                    <w:t>县城东污水处理厂</w:t>
                  </w:r>
                </w:p>
              </w:tc>
              <w:tc>
                <w:tcPr>
                  <w:tcW w:w="1980"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间断排放，排放期间流量不稳定且无规律，但不属于冲击型排放</w:t>
                  </w: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w:t>
                  </w:r>
                </w:p>
              </w:tc>
              <w:tc>
                <w:tcPr>
                  <w:tcW w:w="794" w:type="dxa"/>
                  <w:vAlign w:val="center"/>
                </w:tcPr>
                <w:p>
                  <w:pPr>
                    <w:widowControl w:val="0"/>
                    <w:spacing w:line="240" w:lineRule="auto"/>
                    <w:jc w:val="center"/>
                    <w:rPr>
                      <w:rFonts w:eastAsia="宋体"/>
                      <w:color w:val="000000"/>
                      <w:sz w:val="21"/>
                      <w:szCs w:val="21"/>
                    </w:rPr>
                  </w:pPr>
                  <w:r>
                    <w:rPr>
                      <w:rFonts w:eastAsia="宋体"/>
                      <w:color w:val="000000"/>
                      <w:sz w:val="21"/>
                      <w:szCs w:val="21"/>
                    </w:rPr>
                    <w:t>生活污水处理系统</w:t>
                  </w: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化粪池</w:t>
                  </w:r>
                </w:p>
              </w:tc>
              <w:tc>
                <w:tcPr>
                  <w:tcW w:w="938"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DW001</w:t>
                  </w:r>
                </w:p>
              </w:tc>
              <w:tc>
                <w:tcPr>
                  <w:tcW w:w="846" w:type="dxa"/>
                  <w:vAlign w:val="center"/>
                </w:tcPr>
                <w:p>
                  <w:pPr>
                    <w:adjustRightInd w:val="0"/>
                    <w:snapToGrid w:val="0"/>
                    <w:spacing w:line="240" w:lineRule="auto"/>
                    <w:jc w:val="center"/>
                    <w:rPr>
                      <w:rFonts w:eastAsia="宋体"/>
                      <w:kern w:val="0"/>
                      <w:sz w:val="21"/>
                      <w:szCs w:val="21"/>
                    </w:rPr>
                  </w:pPr>
                  <w:r>
                    <w:rPr>
                      <w:rFonts w:eastAsia="宋体"/>
                      <w:kern w:val="0"/>
                      <w:sz w:val="21"/>
                      <w:szCs w:val="21"/>
                    </w:rPr>
                    <w:t>是</w:t>
                  </w:r>
                </w:p>
              </w:tc>
              <w:tc>
                <w:tcPr>
                  <w:tcW w:w="675" w:type="dxa"/>
                  <w:vAlign w:val="center"/>
                </w:tcPr>
                <w:p>
                  <w:pPr>
                    <w:spacing w:line="240" w:lineRule="auto"/>
                    <w:jc w:val="center"/>
                    <w:rPr>
                      <w:rFonts w:eastAsia="宋体"/>
                      <w:kern w:val="0"/>
                      <w:sz w:val="21"/>
                      <w:szCs w:val="21"/>
                    </w:rPr>
                  </w:pPr>
                  <w:r>
                    <w:rPr>
                      <w:rFonts w:eastAsia="宋体"/>
                      <w:kern w:val="0"/>
                      <w:sz w:val="21"/>
                      <w:szCs w:val="21"/>
                    </w:rPr>
                    <w:t>企业总排</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a是指产生废水的工艺、工序，或废水类型的名称。</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b指产生的主要污染物类型，以相应排放标准中确定的污染因子为准。</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c包括不外排；排至场内综合污水处理站；直接排入海域；直接进入江河、湖、库等水环境；进入城市下水道（再入江河、湖、库）；进入城市下水道（再入沿海海域）；进入城市污水处理厂；直接进入污灌农田；进入地渗或蒸发地；进入其他单位；工业废水处理厂；其他（包括回用等）。对于工艺、工序产生的废水，“不外排”指全部在工序内部循环使用，“排至厂内综合污水处理站”指工序废水经处理后排至综合处理站。对于综合污水处理站，“不外排”指全厂废水经处理后全部回用不排放。</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d包括连续排放、流量稳定；连续排放，流量不稳定，但有周期性规律；连续排放，流量不稳定，但有规律，且不属于周期性规律；连续排放，流量不稳定，属于冲击性排放；连续排放，流量不稳定且无规律，但不属于冲击型排放；间断排放，排放期间流量稳定；间断排放，排放期间流量不稳定，但有周期性规律；间断排放，排放期间流量不稳定，但有规律，且不属于非周期性规律；间断排放，排放期间流量不稳定，属于冲击型排放；间断排放，排放期间流量不稳定且无规律，但不属于冲击型排放。</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e指主要污水处理设名称，如“综合污水处理站”“生活污水处理系统”等。</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f排放口编号可按地方环境管理部门现有编号进行填写或由企业根据国家相关编号进行填写。</w:t>
            </w:r>
          </w:p>
          <w:p>
            <w:pPr>
              <w:ind w:firstLine="360" w:firstLineChars="200"/>
              <w:jc w:val="both"/>
              <w:rPr>
                <w:rFonts w:eastAsia="宋体"/>
                <w:color w:val="000000"/>
                <w:kern w:val="0"/>
                <w:sz w:val="24"/>
                <w:szCs w:val="24"/>
              </w:rPr>
            </w:pPr>
            <w:r>
              <w:rPr>
                <w:rFonts w:eastAsia="宋体"/>
                <w:color w:val="000000"/>
                <w:kern w:val="0"/>
                <w:sz w:val="18"/>
                <w:szCs w:val="18"/>
              </w:rPr>
              <w:t>g指排放口设置是否符合排放口规范化整治技术要求等相关文件的规定。</w:t>
            </w:r>
          </w:p>
          <w:p>
            <w:pPr>
              <w:spacing w:line="500" w:lineRule="exact"/>
              <w:ind w:firstLine="480" w:firstLineChars="200"/>
              <w:rPr>
                <w:rFonts w:eastAsia="宋体"/>
                <w:color w:val="000000"/>
                <w:kern w:val="0"/>
                <w:sz w:val="24"/>
                <w:szCs w:val="24"/>
              </w:rPr>
            </w:pPr>
            <w:r>
              <w:rPr>
                <w:rFonts w:eastAsia="宋体"/>
                <w:color w:val="000000"/>
                <w:kern w:val="0"/>
                <w:sz w:val="24"/>
                <w:szCs w:val="24"/>
              </w:rPr>
              <w:t>（3）废水排放口基本情况</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1</w:t>
            </w:r>
            <w:r>
              <w:rPr>
                <w:rFonts w:eastAsia="宋体"/>
                <w:b/>
                <w:color w:val="000000"/>
                <w:kern w:val="0"/>
                <w:sz w:val="24"/>
                <w:szCs w:val="21"/>
              </w:rPr>
              <w:t xml:space="preserve">  废水间接排放口基本情况表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26"/>
              <w:gridCol w:w="850"/>
              <w:gridCol w:w="1134"/>
              <w:gridCol w:w="851"/>
              <w:gridCol w:w="850"/>
              <w:gridCol w:w="567"/>
              <w:gridCol w:w="851"/>
              <w:gridCol w:w="850"/>
              <w:gridCol w:w="851"/>
              <w:gridCol w:w="18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426"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850"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排放口编号</w:t>
                  </w: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排放口地理坐标(a)</w:t>
                  </w:r>
                </w:p>
              </w:tc>
              <w:tc>
                <w:tcPr>
                  <w:tcW w:w="851"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废水排放量/</w:t>
                  </w:r>
                </w:p>
                <w:p>
                  <w:pPr>
                    <w:widowControl w:val="0"/>
                    <w:adjustRightInd w:val="0"/>
                    <w:snapToGrid w:val="0"/>
                    <w:spacing w:line="240" w:lineRule="auto"/>
                    <w:jc w:val="center"/>
                    <w:rPr>
                      <w:rFonts w:eastAsia="宋体" w:cs="Calibri"/>
                      <w:b/>
                      <w:sz w:val="21"/>
                      <w:szCs w:val="21"/>
                    </w:rPr>
                  </w:pPr>
                  <w:r>
                    <w:rPr>
                      <w:rFonts w:eastAsia="宋体" w:cs="Calibri"/>
                      <w:b/>
                      <w:sz w:val="21"/>
                      <w:szCs w:val="21"/>
                    </w:rPr>
                    <w:t>（万t/a）</w:t>
                  </w:r>
                </w:p>
              </w:tc>
              <w:tc>
                <w:tcPr>
                  <w:tcW w:w="850"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排放去向</w:t>
                  </w:r>
                </w:p>
              </w:tc>
              <w:tc>
                <w:tcPr>
                  <w:tcW w:w="567"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排放规律</w:t>
                  </w:r>
                </w:p>
              </w:tc>
              <w:tc>
                <w:tcPr>
                  <w:tcW w:w="851"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间歇排</w:t>
                  </w:r>
                </w:p>
                <w:p>
                  <w:pPr>
                    <w:widowControl w:val="0"/>
                    <w:adjustRightInd w:val="0"/>
                    <w:snapToGrid w:val="0"/>
                    <w:spacing w:line="240" w:lineRule="auto"/>
                    <w:jc w:val="center"/>
                    <w:rPr>
                      <w:rFonts w:eastAsia="宋体" w:cs="Calibri"/>
                      <w:b/>
                      <w:sz w:val="21"/>
                      <w:szCs w:val="21"/>
                    </w:rPr>
                  </w:pPr>
                  <w:r>
                    <w:rPr>
                      <w:rFonts w:eastAsia="宋体" w:cs="Calibri"/>
                      <w:b/>
                      <w:sz w:val="21"/>
                      <w:szCs w:val="21"/>
                    </w:rPr>
                    <w:t>放时段</w:t>
                  </w:r>
                </w:p>
              </w:tc>
              <w:tc>
                <w:tcPr>
                  <w:tcW w:w="3541" w:type="dxa"/>
                  <w:gridSpan w:val="3"/>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87" w:hRule="atLeast"/>
                <w:jc w:val="center"/>
              </w:trPr>
              <w:tc>
                <w:tcPr>
                  <w:tcW w:w="426"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Merge w:val="continue"/>
                  <w:vAlign w:val="center"/>
                </w:tcPr>
                <w:p>
                  <w:pPr>
                    <w:widowControl w:val="0"/>
                    <w:adjustRightInd w:val="0"/>
                    <w:snapToGrid w:val="0"/>
                    <w:spacing w:line="240" w:lineRule="auto"/>
                    <w:jc w:val="center"/>
                    <w:rPr>
                      <w:rFonts w:eastAsia="宋体" w:cs="Calibri"/>
                      <w:b/>
                      <w:sz w:val="21"/>
                      <w:szCs w:val="21"/>
                    </w:rPr>
                  </w:pP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经纬度</w:t>
                  </w:r>
                </w:p>
              </w:tc>
              <w:tc>
                <w:tcPr>
                  <w:tcW w:w="851"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Merge w:val="continue"/>
                  <w:vAlign w:val="center"/>
                </w:tcPr>
                <w:p>
                  <w:pPr>
                    <w:widowControl w:val="0"/>
                    <w:adjustRightInd w:val="0"/>
                    <w:snapToGrid w:val="0"/>
                    <w:spacing w:line="240" w:lineRule="auto"/>
                    <w:jc w:val="center"/>
                    <w:rPr>
                      <w:rFonts w:eastAsia="宋体" w:cs="Calibri"/>
                      <w:b/>
                      <w:sz w:val="21"/>
                      <w:szCs w:val="21"/>
                    </w:rPr>
                  </w:pPr>
                </w:p>
              </w:tc>
              <w:tc>
                <w:tcPr>
                  <w:tcW w:w="567" w:type="dxa"/>
                  <w:vMerge w:val="continue"/>
                  <w:vAlign w:val="center"/>
                </w:tcPr>
                <w:p>
                  <w:pPr>
                    <w:widowControl w:val="0"/>
                    <w:adjustRightInd w:val="0"/>
                    <w:snapToGrid w:val="0"/>
                    <w:spacing w:line="240" w:lineRule="auto"/>
                    <w:jc w:val="center"/>
                    <w:rPr>
                      <w:rFonts w:eastAsia="宋体" w:cs="Calibri"/>
                      <w:b/>
                      <w:sz w:val="21"/>
                      <w:szCs w:val="21"/>
                    </w:rPr>
                  </w:pPr>
                </w:p>
              </w:tc>
              <w:tc>
                <w:tcPr>
                  <w:tcW w:w="851"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名称(b)</w:t>
                  </w:r>
                </w:p>
              </w:tc>
              <w:tc>
                <w:tcPr>
                  <w:tcW w:w="85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污染物种类</w:t>
                  </w:r>
                </w:p>
              </w:tc>
              <w:tc>
                <w:tcPr>
                  <w:tcW w:w="184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26"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1</w:t>
                  </w:r>
                </w:p>
              </w:tc>
              <w:tc>
                <w:tcPr>
                  <w:tcW w:w="850"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DW001</w:t>
                  </w:r>
                </w:p>
              </w:tc>
              <w:tc>
                <w:tcPr>
                  <w:tcW w:w="1134"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118.77416934.1400271</w:t>
                  </w:r>
                </w:p>
              </w:tc>
              <w:tc>
                <w:tcPr>
                  <w:tcW w:w="851"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0.06864</w:t>
                  </w:r>
                </w:p>
              </w:tc>
              <w:tc>
                <w:tcPr>
                  <w:tcW w:w="850"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进入</w:t>
                  </w:r>
                  <w:r>
                    <w:rPr>
                      <w:rFonts w:hint="eastAsia" w:eastAsia="宋体"/>
                      <w:color w:val="000000"/>
                      <w:kern w:val="0"/>
                      <w:sz w:val="21"/>
                      <w:szCs w:val="21"/>
                    </w:rPr>
                    <w:t>沭阳县城东污水处理厂</w:t>
                  </w:r>
                </w:p>
              </w:tc>
              <w:tc>
                <w:tcPr>
                  <w:tcW w:w="567"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w:t>
                  </w:r>
                </w:p>
              </w:tc>
              <w:tc>
                <w:tcPr>
                  <w:tcW w:w="851"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w:t>
                  </w:r>
                </w:p>
              </w:tc>
              <w:tc>
                <w:tcPr>
                  <w:tcW w:w="850" w:type="dxa"/>
                  <w:vAlign w:val="center"/>
                </w:tcPr>
                <w:p>
                  <w:pPr>
                    <w:widowControl w:val="0"/>
                    <w:adjustRightInd w:val="0"/>
                    <w:snapToGrid w:val="0"/>
                    <w:spacing w:line="240" w:lineRule="auto"/>
                    <w:jc w:val="center"/>
                    <w:rPr>
                      <w:rFonts w:eastAsia="宋体" w:cs="Calibri"/>
                      <w:sz w:val="21"/>
                      <w:szCs w:val="21"/>
                    </w:rPr>
                  </w:pPr>
                  <w:r>
                    <w:rPr>
                      <w:rFonts w:hint="eastAsia" w:eastAsia="宋体"/>
                      <w:color w:val="000000"/>
                      <w:kern w:val="0"/>
                      <w:sz w:val="21"/>
                      <w:szCs w:val="21"/>
                    </w:rPr>
                    <w:t>沭阳县城东污水处理厂</w:t>
                  </w:r>
                </w:p>
              </w:tc>
              <w:tc>
                <w:tcPr>
                  <w:tcW w:w="851"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COD</w:t>
                  </w:r>
                </w:p>
                <w:p>
                  <w:pPr>
                    <w:widowControl w:val="0"/>
                    <w:adjustRightInd w:val="0"/>
                    <w:snapToGrid w:val="0"/>
                    <w:spacing w:line="240" w:lineRule="auto"/>
                    <w:jc w:val="center"/>
                    <w:rPr>
                      <w:rFonts w:eastAsia="宋体" w:cs="Calibri"/>
                      <w:sz w:val="21"/>
                      <w:szCs w:val="21"/>
                    </w:rPr>
                  </w:pPr>
                  <w:r>
                    <w:rPr>
                      <w:rFonts w:eastAsia="宋体" w:cs="Calibri"/>
                      <w:sz w:val="21"/>
                      <w:szCs w:val="21"/>
                    </w:rPr>
                    <w:t>SS</w:t>
                  </w:r>
                </w:p>
                <w:p>
                  <w:pPr>
                    <w:widowControl w:val="0"/>
                    <w:adjustRightInd w:val="0"/>
                    <w:snapToGrid w:val="0"/>
                    <w:spacing w:line="240" w:lineRule="auto"/>
                    <w:jc w:val="center"/>
                    <w:rPr>
                      <w:rFonts w:eastAsia="宋体" w:cs="Calibri"/>
                      <w:sz w:val="21"/>
                      <w:szCs w:val="21"/>
                    </w:rPr>
                  </w:pPr>
                  <w:r>
                    <w:rPr>
                      <w:rFonts w:eastAsia="宋体" w:cs="Calibri"/>
                      <w:sz w:val="21"/>
                      <w:szCs w:val="21"/>
                    </w:rPr>
                    <w:t>氨氮</w:t>
                  </w:r>
                </w:p>
                <w:p>
                  <w:pPr>
                    <w:widowControl w:val="0"/>
                    <w:adjustRightInd w:val="0"/>
                    <w:snapToGrid w:val="0"/>
                    <w:spacing w:line="240" w:lineRule="auto"/>
                    <w:jc w:val="center"/>
                    <w:rPr>
                      <w:rFonts w:eastAsia="宋体" w:cs="Calibri"/>
                      <w:sz w:val="21"/>
                      <w:szCs w:val="21"/>
                    </w:rPr>
                  </w:pPr>
                  <w:r>
                    <w:rPr>
                      <w:rFonts w:eastAsia="宋体" w:cs="Calibri"/>
                      <w:sz w:val="21"/>
                      <w:szCs w:val="21"/>
                    </w:rPr>
                    <w:t>总磷</w:t>
                  </w:r>
                </w:p>
                <w:p>
                  <w:pPr>
                    <w:widowControl w:val="0"/>
                    <w:adjustRightInd w:val="0"/>
                    <w:snapToGrid w:val="0"/>
                    <w:spacing w:line="240" w:lineRule="auto"/>
                    <w:jc w:val="center"/>
                  </w:pPr>
                  <w:r>
                    <w:rPr>
                      <w:rFonts w:hint="eastAsia" w:eastAsia="宋体" w:cs="Calibri"/>
                      <w:sz w:val="21"/>
                      <w:szCs w:val="21"/>
                    </w:rPr>
                    <w:t>总氮</w:t>
                  </w:r>
                </w:p>
              </w:tc>
              <w:tc>
                <w:tcPr>
                  <w:tcW w:w="1840"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≤50</w:t>
                  </w:r>
                </w:p>
                <w:p>
                  <w:pPr>
                    <w:widowControl w:val="0"/>
                    <w:adjustRightInd w:val="0"/>
                    <w:snapToGrid w:val="0"/>
                    <w:spacing w:line="240" w:lineRule="auto"/>
                    <w:jc w:val="center"/>
                    <w:rPr>
                      <w:rFonts w:eastAsia="宋体" w:cs="Calibri"/>
                      <w:sz w:val="21"/>
                      <w:szCs w:val="21"/>
                    </w:rPr>
                  </w:pPr>
                  <w:r>
                    <w:rPr>
                      <w:rFonts w:eastAsia="宋体" w:cs="Calibri"/>
                      <w:sz w:val="21"/>
                      <w:szCs w:val="21"/>
                    </w:rPr>
                    <w:t>≤10</w:t>
                  </w:r>
                </w:p>
                <w:p>
                  <w:pPr>
                    <w:widowControl w:val="0"/>
                    <w:adjustRightInd w:val="0"/>
                    <w:snapToGrid w:val="0"/>
                    <w:spacing w:line="240" w:lineRule="auto"/>
                    <w:jc w:val="center"/>
                    <w:rPr>
                      <w:rFonts w:eastAsia="宋体" w:cs="Calibri"/>
                      <w:sz w:val="21"/>
                      <w:szCs w:val="21"/>
                    </w:rPr>
                  </w:pPr>
                  <w:r>
                    <w:rPr>
                      <w:rFonts w:eastAsia="宋体" w:cs="Calibri"/>
                      <w:sz w:val="21"/>
                      <w:szCs w:val="21"/>
                    </w:rPr>
                    <w:t>≤5（8）</w:t>
                  </w:r>
                </w:p>
                <w:p>
                  <w:pPr>
                    <w:widowControl w:val="0"/>
                    <w:adjustRightInd w:val="0"/>
                    <w:snapToGrid w:val="0"/>
                    <w:spacing w:line="240" w:lineRule="auto"/>
                    <w:jc w:val="center"/>
                    <w:rPr>
                      <w:rFonts w:eastAsia="宋体" w:cs="Calibri"/>
                      <w:sz w:val="21"/>
                      <w:szCs w:val="21"/>
                    </w:rPr>
                  </w:pPr>
                  <w:r>
                    <w:rPr>
                      <w:rFonts w:eastAsia="宋体" w:cs="Calibri"/>
                      <w:sz w:val="21"/>
                      <w:szCs w:val="21"/>
                    </w:rPr>
                    <w:t>≤0.5</w:t>
                  </w:r>
                </w:p>
                <w:p>
                  <w:pPr>
                    <w:widowControl w:val="0"/>
                    <w:adjustRightInd w:val="0"/>
                    <w:snapToGrid w:val="0"/>
                    <w:spacing w:line="240" w:lineRule="auto"/>
                    <w:jc w:val="center"/>
                    <w:rPr>
                      <w:rFonts w:eastAsia="宋体" w:cs="Calibri"/>
                      <w:sz w:val="21"/>
                      <w:szCs w:val="21"/>
                    </w:rPr>
                  </w:pPr>
                  <w:r>
                    <w:rPr>
                      <w:rFonts w:eastAsia="宋体" w:cs="Calibri"/>
                      <w:sz w:val="21"/>
                      <w:szCs w:val="21"/>
                    </w:rPr>
                    <w:t>≤</w:t>
                  </w:r>
                  <w:r>
                    <w:rPr>
                      <w:rFonts w:hint="eastAsia" w:eastAsia="宋体" w:cs="Calibri"/>
                      <w:sz w:val="21"/>
                      <w:szCs w:val="21"/>
                    </w:rPr>
                    <w:t>15</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a对于排至厂外公共污水处理系统的排放口，指废水排出厂界处经纬度坐标。</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b指厂外城镇或工业污水集中处理设施名称，如XX生活污水处理厂、XXX化工园区污水处理厂等。</w:t>
            </w:r>
          </w:p>
          <w:p>
            <w:pPr>
              <w:spacing w:line="500" w:lineRule="exact"/>
              <w:ind w:firstLine="480" w:firstLineChars="200"/>
              <w:rPr>
                <w:rFonts w:eastAsia="宋体"/>
                <w:color w:val="000000"/>
                <w:kern w:val="0"/>
                <w:sz w:val="24"/>
                <w:szCs w:val="24"/>
              </w:rPr>
            </w:pPr>
            <w:r>
              <w:rPr>
                <w:rFonts w:eastAsia="宋体"/>
                <w:color w:val="000000"/>
                <w:kern w:val="0"/>
                <w:sz w:val="24"/>
                <w:szCs w:val="24"/>
              </w:rPr>
              <w:t>（4）废水污染物排放信息</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2</w:t>
            </w:r>
            <w:r>
              <w:rPr>
                <w:rFonts w:eastAsia="宋体"/>
                <w:b/>
                <w:color w:val="000000"/>
                <w:kern w:val="0"/>
                <w:sz w:val="24"/>
                <w:szCs w:val="21"/>
              </w:rPr>
              <w:t xml:space="preserve"> 废水污染物排放信息表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31"/>
              <w:gridCol w:w="904"/>
              <w:gridCol w:w="1361"/>
              <w:gridCol w:w="1022"/>
              <w:gridCol w:w="1438"/>
              <w:gridCol w:w="1612"/>
              <w:gridCol w:w="16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3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90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排放口编号</w:t>
                  </w:r>
                </w:p>
              </w:tc>
              <w:tc>
                <w:tcPr>
                  <w:tcW w:w="136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废水排放量/（万t/a）</w:t>
                  </w:r>
                </w:p>
              </w:tc>
              <w:tc>
                <w:tcPr>
                  <w:tcW w:w="102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污染物种类</w:t>
                  </w:r>
                </w:p>
              </w:tc>
              <w:tc>
                <w:tcPr>
                  <w:tcW w:w="1438"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排放浓度/（mg/</w:t>
                  </w:r>
                  <w:r>
                    <w:rPr>
                      <w:rFonts w:hint="eastAsia" w:eastAsia="宋体" w:cs="Calibri"/>
                      <w:b/>
                      <w:sz w:val="21"/>
                      <w:szCs w:val="21"/>
                    </w:rPr>
                    <w:t>l</w:t>
                  </w:r>
                  <w:r>
                    <w:rPr>
                      <w:rFonts w:eastAsia="宋体" w:cs="Calibri"/>
                      <w:b/>
                      <w:sz w:val="21"/>
                      <w:szCs w:val="21"/>
                    </w:rPr>
                    <w:t>）</w:t>
                  </w:r>
                </w:p>
              </w:tc>
              <w:tc>
                <w:tcPr>
                  <w:tcW w:w="161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日排放量/（t/d）</w:t>
                  </w:r>
                </w:p>
              </w:tc>
              <w:tc>
                <w:tcPr>
                  <w:tcW w:w="161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5" w:hRule="atLeast"/>
                <w:jc w:val="center"/>
              </w:trPr>
              <w:tc>
                <w:tcPr>
                  <w:tcW w:w="831"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1</w:t>
                  </w:r>
                </w:p>
              </w:tc>
              <w:tc>
                <w:tcPr>
                  <w:tcW w:w="904"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DW001</w:t>
                  </w:r>
                </w:p>
              </w:tc>
              <w:tc>
                <w:tcPr>
                  <w:tcW w:w="1361"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0.06864</w:t>
                  </w: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300</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0.000575</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20</w:t>
                  </w:r>
                  <w:r>
                    <w:rPr>
                      <w:rFonts w:eastAsia="宋体"/>
                      <w:color w:val="000000"/>
                      <w:sz w:val="21"/>
                      <w:szCs w:val="21"/>
                    </w:rPr>
                    <w:t>0</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0.000384</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2</w:t>
                  </w:r>
                  <w:r>
                    <w:rPr>
                      <w:rFonts w:eastAsia="宋体"/>
                      <w:color w:val="000000"/>
                      <w:sz w:val="21"/>
                      <w:szCs w:val="21"/>
                    </w:rPr>
                    <w:t>5</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0.000047</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3</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0.00000575</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总氮</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45</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0.0000849</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color w:val="000000"/>
                      <w:sz w:val="21"/>
                      <w:szCs w:val="21"/>
                    </w:rPr>
                    <w:t>0.031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全厂排放口合计</w:t>
                  </w: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总氮</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0.031</w:t>
                  </w:r>
                </w:p>
              </w:tc>
            </w:tr>
          </w:tbl>
          <w:p>
            <w:pPr>
              <w:spacing w:line="500" w:lineRule="exact"/>
              <w:ind w:firstLine="480" w:firstLineChars="200"/>
              <w:rPr>
                <w:rFonts w:eastAsia="宋体"/>
                <w:color w:val="000000"/>
                <w:kern w:val="0"/>
                <w:sz w:val="24"/>
                <w:szCs w:val="24"/>
              </w:rPr>
            </w:pPr>
            <w:r>
              <w:rPr>
                <w:rFonts w:eastAsia="宋体"/>
                <w:color w:val="000000"/>
                <w:kern w:val="0"/>
                <w:sz w:val="24"/>
                <w:szCs w:val="24"/>
              </w:rPr>
              <w:t xml:space="preserve">（5）环境监测计划及记录信息 </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3</w:t>
            </w:r>
            <w:r>
              <w:rPr>
                <w:rFonts w:eastAsia="宋体"/>
                <w:b/>
                <w:color w:val="000000"/>
                <w:kern w:val="0"/>
                <w:sz w:val="24"/>
                <w:szCs w:val="21"/>
              </w:rPr>
              <w:t xml:space="preserve">  环境监测计划及记录信息表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6"/>
              <w:gridCol w:w="850"/>
              <w:gridCol w:w="709"/>
              <w:gridCol w:w="709"/>
              <w:gridCol w:w="1559"/>
              <w:gridCol w:w="850"/>
              <w:gridCol w:w="851"/>
              <w:gridCol w:w="1134"/>
              <w:gridCol w:w="992"/>
              <w:gridCol w:w="9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w:t>
                  </w:r>
                </w:p>
                <w:p>
                  <w:pPr>
                    <w:widowControl w:val="0"/>
                    <w:adjustRightInd w:val="0"/>
                    <w:snapToGrid w:val="0"/>
                    <w:spacing w:line="240" w:lineRule="auto"/>
                    <w:jc w:val="center"/>
                    <w:rPr>
                      <w:rFonts w:eastAsia="宋体" w:cs="Calibri"/>
                      <w:b/>
                      <w:sz w:val="21"/>
                      <w:szCs w:val="21"/>
                    </w:rPr>
                  </w:pPr>
                  <w:r>
                    <w:rPr>
                      <w:rFonts w:eastAsia="宋体" w:cs="Calibri"/>
                      <w:b/>
                      <w:sz w:val="21"/>
                      <w:szCs w:val="21"/>
                    </w:rPr>
                    <w:t>编号</w:t>
                  </w:r>
                </w:p>
              </w:tc>
              <w:tc>
                <w:tcPr>
                  <w:tcW w:w="70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污染物名称</w:t>
                  </w:r>
                </w:p>
              </w:tc>
              <w:tc>
                <w:tcPr>
                  <w:tcW w:w="70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检测</w:t>
                  </w:r>
                </w:p>
                <w:p>
                  <w:pPr>
                    <w:widowControl w:val="0"/>
                    <w:adjustRightInd w:val="0"/>
                    <w:snapToGrid w:val="0"/>
                    <w:spacing w:line="240" w:lineRule="auto"/>
                    <w:jc w:val="center"/>
                    <w:rPr>
                      <w:rFonts w:eastAsia="宋体" w:cs="Calibri"/>
                      <w:b/>
                      <w:sz w:val="21"/>
                      <w:szCs w:val="21"/>
                    </w:rPr>
                  </w:pPr>
                  <w:r>
                    <w:rPr>
                      <w:rFonts w:eastAsia="宋体" w:cs="Calibri"/>
                      <w:b/>
                      <w:sz w:val="21"/>
                      <w:szCs w:val="21"/>
                    </w:rPr>
                    <w:t>设施</w:t>
                  </w:r>
                </w:p>
              </w:tc>
              <w:tc>
                <w:tcPr>
                  <w:tcW w:w="155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自动检测设施安装、运行、维护等相关管理要求</w:t>
                  </w: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自动监测是否联网</w:t>
                  </w:r>
                </w:p>
              </w:tc>
              <w:tc>
                <w:tcPr>
                  <w:tcW w:w="85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自动监测仪器名称</w:t>
                  </w: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手工采样方法及个数(a)</w:t>
                  </w:r>
                </w:p>
              </w:tc>
              <w:tc>
                <w:tcPr>
                  <w:tcW w:w="99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手工监测</w:t>
                  </w:r>
                </w:p>
                <w:p>
                  <w:pPr>
                    <w:widowControl w:val="0"/>
                    <w:adjustRightInd w:val="0"/>
                    <w:snapToGrid w:val="0"/>
                    <w:spacing w:line="240" w:lineRule="auto"/>
                    <w:jc w:val="center"/>
                    <w:rPr>
                      <w:rFonts w:eastAsia="宋体" w:cs="Calibri"/>
                      <w:b/>
                      <w:sz w:val="21"/>
                      <w:szCs w:val="21"/>
                    </w:rPr>
                  </w:pPr>
                  <w:r>
                    <w:rPr>
                      <w:rFonts w:eastAsia="宋体" w:cs="Calibri"/>
                      <w:b/>
                      <w:sz w:val="21"/>
                      <w:szCs w:val="21"/>
                    </w:rPr>
                    <w:t>频次(b)</w:t>
                  </w:r>
                </w:p>
              </w:tc>
              <w:tc>
                <w:tcPr>
                  <w:tcW w:w="98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手工测定方法(c)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1</w:t>
                  </w:r>
                </w:p>
              </w:tc>
              <w:tc>
                <w:tcPr>
                  <w:tcW w:w="850"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DW001</w:t>
                  </w:r>
                </w:p>
              </w:tc>
              <w:tc>
                <w:tcPr>
                  <w:tcW w:w="709" w:type="dxa"/>
                  <w:vAlign w:val="center"/>
                </w:tcPr>
                <w:p>
                  <w:pPr>
                    <w:adjustRightInd w:val="0"/>
                    <w:snapToGrid w:val="0"/>
                    <w:spacing w:line="240" w:lineRule="auto"/>
                    <w:jc w:val="center"/>
                    <w:rPr>
                      <w:rFonts w:eastAsia="宋体"/>
                      <w:kern w:val="0"/>
                      <w:sz w:val="21"/>
                      <w:szCs w:val="21"/>
                    </w:rPr>
                  </w:pPr>
                  <w:r>
                    <w:rPr>
                      <w:rFonts w:eastAsia="宋体"/>
                      <w:kern w:val="0"/>
                      <w:sz w:val="21"/>
                      <w:szCs w:val="21"/>
                    </w:rPr>
                    <w:t>COD</w:t>
                  </w:r>
                </w:p>
                <w:p>
                  <w:pPr>
                    <w:adjustRightInd w:val="0"/>
                    <w:snapToGrid w:val="0"/>
                    <w:spacing w:line="240" w:lineRule="auto"/>
                    <w:jc w:val="center"/>
                    <w:rPr>
                      <w:rFonts w:eastAsia="宋体"/>
                      <w:kern w:val="0"/>
                      <w:sz w:val="21"/>
                      <w:szCs w:val="21"/>
                    </w:rPr>
                  </w:pPr>
                  <w:r>
                    <w:rPr>
                      <w:rFonts w:eastAsia="宋体"/>
                      <w:kern w:val="0"/>
                      <w:sz w:val="21"/>
                      <w:szCs w:val="21"/>
                    </w:rPr>
                    <w:t>SS</w:t>
                  </w:r>
                </w:p>
                <w:p>
                  <w:pPr>
                    <w:adjustRightInd w:val="0"/>
                    <w:snapToGrid w:val="0"/>
                    <w:spacing w:line="240" w:lineRule="auto"/>
                    <w:jc w:val="center"/>
                    <w:rPr>
                      <w:rFonts w:eastAsia="宋体"/>
                      <w:kern w:val="0"/>
                      <w:sz w:val="21"/>
                      <w:szCs w:val="21"/>
                    </w:rPr>
                  </w:pPr>
                  <w:r>
                    <w:rPr>
                      <w:rFonts w:eastAsia="宋体"/>
                      <w:kern w:val="0"/>
                      <w:sz w:val="21"/>
                      <w:szCs w:val="21"/>
                    </w:rPr>
                    <w:t>氨氮</w:t>
                  </w:r>
                </w:p>
                <w:p>
                  <w:pPr>
                    <w:adjustRightInd w:val="0"/>
                    <w:snapToGrid w:val="0"/>
                    <w:spacing w:line="240" w:lineRule="auto"/>
                    <w:jc w:val="center"/>
                    <w:rPr>
                      <w:rFonts w:eastAsia="宋体"/>
                      <w:kern w:val="0"/>
                      <w:sz w:val="21"/>
                      <w:szCs w:val="21"/>
                    </w:rPr>
                  </w:pPr>
                  <w:r>
                    <w:rPr>
                      <w:rFonts w:eastAsia="宋体"/>
                      <w:kern w:val="0"/>
                      <w:sz w:val="21"/>
                      <w:szCs w:val="21"/>
                    </w:rPr>
                    <w:t>总磷</w:t>
                  </w:r>
                </w:p>
                <w:p>
                  <w:pPr>
                    <w:adjustRightInd w:val="0"/>
                    <w:snapToGrid w:val="0"/>
                    <w:spacing w:line="240" w:lineRule="auto"/>
                    <w:jc w:val="center"/>
                  </w:pPr>
                  <w:r>
                    <w:rPr>
                      <w:rFonts w:hint="eastAsia" w:eastAsia="宋体"/>
                      <w:kern w:val="0"/>
                      <w:sz w:val="21"/>
                      <w:szCs w:val="21"/>
                    </w:rPr>
                    <w:t>总氮</w:t>
                  </w:r>
                </w:p>
              </w:tc>
              <w:tc>
                <w:tcPr>
                  <w:tcW w:w="70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手工</w:t>
                  </w:r>
                </w:p>
              </w:tc>
              <w:tc>
                <w:tcPr>
                  <w:tcW w:w="155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按管理规定执行</w:t>
                  </w:r>
                </w:p>
              </w:tc>
              <w:tc>
                <w:tcPr>
                  <w:tcW w:w="850"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否</w:t>
                  </w:r>
                </w:p>
              </w:tc>
              <w:tc>
                <w:tcPr>
                  <w:tcW w:w="851"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1134"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99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98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a指污染物采样方法，如“混合采样（3个、4个或5个混合）”“瞬时采样（3个、4个或5个瞬时样）”。</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b指一段时期内的监测次数要求，如1次/ 周、1次/ 月等。</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C指污染物浓度测定方法，如测定化学需氧量的重铬酸钾法、测定氨氮的水杨酸分光度法等。</w:t>
            </w:r>
          </w:p>
          <w:p>
            <w:pPr>
              <w:spacing w:line="500" w:lineRule="exact"/>
              <w:ind w:firstLine="480" w:firstLineChars="200"/>
              <w:jc w:val="both"/>
              <w:rPr>
                <w:rFonts w:eastAsia="宋体"/>
                <w:kern w:val="0"/>
                <w:sz w:val="24"/>
                <w:szCs w:val="24"/>
              </w:rPr>
            </w:pPr>
            <w:r>
              <w:rPr>
                <w:rFonts w:hint="eastAsia" w:eastAsia="宋体"/>
                <w:color w:val="000000"/>
                <w:kern w:val="0"/>
                <w:sz w:val="24"/>
                <w:szCs w:val="24"/>
              </w:rPr>
              <w:t>项目</w:t>
            </w:r>
            <w:r>
              <w:rPr>
                <w:rFonts w:eastAsia="宋体"/>
                <w:kern w:val="0"/>
                <w:sz w:val="24"/>
              </w:rPr>
              <w:t>生活污水经化粪池处理后</w:t>
            </w:r>
            <w:r>
              <w:rPr>
                <w:rFonts w:hint="eastAsia" w:eastAsia="宋体"/>
                <w:kern w:val="0"/>
                <w:sz w:val="24"/>
                <w:szCs w:val="22"/>
              </w:rPr>
              <w:t>接管至沭阳县城东污水处理厂</w:t>
            </w:r>
            <w:r>
              <w:rPr>
                <w:rFonts w:eastAsia="宋体"/>
                <w:kern w:val="0"/>
                <w:sz w:val="24"/>
                <w:szCs w:val="22"/>
              </w:rPr>
              <w:t>处理，尾水处理达《城镇污水处理厂污染物排放标准》（GB18918-2002）表1中一级A标准后</w:t>
            </w:r>
            <w:r>
              <w:rPr>
                <w:rFonts w:eastAsia="宋体"/>
                <w:kern w:val="0"/>
                <w:sz w:val="24"/>
                <w:szCs w:val="24"/>
              </w:rPr>
              <w:t>外排入</w:t>
            </w:r>
            <w:r>
              <w:rPr>
                <w:rFonts w:hint="eastAsia" w:eastAsia="宋体"/>
                <w:kern w:val="0"/>
                <w:sz w:val="24"/>
                <w:szCs w:val="24"/>
              </w:rPr>
              <w:t>沂南河</w:t>
            </w:r>
            <w:r>
              <w:rPr>
                <w:rFonts w:eastAsia="宋体"/>
                <w:kern w:val="0"/>
                <w:sz w:val="24"/>
                <w:szCs w:val="24"/>
              </w:rPr>
              <w:t>。</w:t>
            </w:r>
          </w:p>
          <w:p>
            <w:pPr>
              <w:tabs>
                <w:tab w:val="left" w:pos="1680"/>
              </w:tabs>
              <w:ind w:firstLine="480" w:firstLineChars="200"/>
              <w:rPr>
                <w:rFonts w:eastAsia="宋体"/>
                <w:bCs/>
                <w:kern w:val="0"/>
                <w:sz w:val="24"/>
                <w:szCs w:val="24"/>
              </w:rPr>
            </w:pPr>
          </w:p>
          <w:p>
            <w:pPr>
              <w:autoSpaceDE w:val="0"/>
              <w:autoSpaceDN w:val="0"/>
              <w:adjustRightInd w:val="0"/>
              <w:ind w:left="140" w:leftChars="50" w:right="140" w:rightChars="50" w:firstLine="480" w:firstLineChars="200"/>
              <w:rPr>
                <w:rFonts w:eastAsia="宋体" w:cs="宋体"/>
                <w:kern w:val="0"/>
                <w:sz w:val="24"/>
                <w:szCs w:val="24"/>
              </w:rPr>
            </w:pPr>
            <w:r>
              <w:rPr>
                <w:rFonts w:hint="eastAsia" w:eastAsia="宋体" w:cs="宋体"/>
                <w:kern w:val="0"/>
                <w:sz w:val="24"/>
                <w:szCs w:val="24"/>
              </w:rPr>
              <w:t>本项目排放生活污水合计686.4</w:t>
            </w:r>
            <w:r>
              <w:rPr>
                <w:rFonts w:eastAsia="宋体" w:cs="宋体"/>
                <w:kern w:val="0"/>
                <w:sz w:val="24"/>
                <w:szCs w:val="24"/>
              </w:rPr>
              <w:t>t/a</w:t>
            </w:r>
            <w:r>
              <w:rPr>
                <w:rFonts w:hint="eastAsia" w:eastAsia="宋体" w:cs="宋体"/>
                <w:kern w:val="0"/>
                <w:sz w:val="24"/>
                <w:szCs w:val="24"/>
              </w:rPr>
              <w:t>。经类比分析，项目生活污水主要污染物浓度分别为：</w:t>
            </w:r>
            <w:r>
              <w:rPr>
                <w:rFonts w:eastAsia="宋体" w:cs="宋体"/>
                <w:kern w:val="0"/>
                <w:sz w:val="24"/>
                <w:szCs w:val="24"/>
              </w:rPr>
              <w:t>COD</w:t>
            </w:r>
            <w:r>
              <w:rPr>
                <w:rFonts w:hint="eastAsia" w:eastAsia="宋体" w:cs="宋体"/>
                <w:kern w:val="0"/>
                <w:sz w:val="24"/>
                <w:szCs w:val="24"/>
              </w:rPr>
              <w:t>≤35</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w:t>
            </w:r>
            <w:r>
              <w:rPr>
                <w:rFonts w:eastAsia="宋体" w:cs="宋体"/>
                <w:kern w:val="0"/>
                <w:sz w:val="24"/>
                <w:szCs w:val="24"/>
              </w:rPr>
              <w:t>250 mg/L</w:t>
            </w:r>
            <w:r>
              <w:rPr>
                <w:rFonts w:hint="eastAsia" w:eastAsia="宋体" w:cs="宋体"/>
                <w:kern w:val="0"/>
                <w:sz w:val="24"/>
                <w:szCs w:val="24"/>
              </w:rPr>
              <w:t>、氨氮≤30</w:t>
            </w:r>
            <w:r>
              <w:rPr>
                <w:rFonts w:eastAsia="宋体" w:cs="宋体"/>
                <w:kern w:val="0"/>
                <w:sz w:val="24"/>
                <w:szCs w:val="24"/>
              </w:rPr>
              <w:t xml:space="preserve"> mg/L</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3mg/L</w:t>
            </w:r>
            <w:r>
              <w:rPr>
                <w:rFonts w:hint="eastAsia" w:eastAsia="宋体" w:cs="宋体"/>
                <w:kern w:val="0"/>
                <w:sz w:val="24"/>
                <w:szCs w:val="24"/>
              </w:rPr>
              <w:t>、TN≤50</w:t>
            </w:r>
            <w:r>
              <w:rPr>
                <w:rFonts w:eastAsia="宋体" w:cs="宋体"/>
                <w:kern w:val="0"/>
                <w:sz w:val="24"/>
                <w:szCs w:val="24"/>
              </w:rPr>
              <w:t>mg/L</w:t>
            </w:r>
            <w:r>
              <w:rPr>
                <w:rFonts w:hint="eastAsia" w:eastAsia="宋体" w:cs="宋体"/>
                <w:kern w:val="0"/>
                <w:sz w:val="24"/>
                <w:szCs w:val="24"/>
              </w:rPr>
              <w:t>，经化粪池处理后达到</w:t>
            </w:r>
            <w:r>
              <w:rPr>
                <w:rFonts w:hint="eastAsia" w:eastAsia="宋体"/>
                <w:kern w:val="0"/>
                <w:sz w:val="24"/>
                <w:szCs w:val="24"/>
              </w:rPr>
              <w:t>沭阳县城东污水处理厂</w:t>
            </w:r>
            <w:r>
              <w:rPr>
                <w:rFonts w:hint="eastAsia" w:eastAsia="宋体" w:cs="宋体"/>
                <w:kern w:val="0"/>
                <w:sz w:val="24"/>
                <w:szCs w:val="24"/>
              </w:rPr>
              <w:t>接管标准后，排入市政污水管网，由</w:t>
            </w:r>
            <w:r>
              <w:rPr>
                <w:rFonts w:hint="eastAsia" w:eastAsia="宋体"/>
                <w:bCs/>
                <w:sz w:val="24"/>
                <w:szCs w:val="24"/>
              </w:rPr>
              <w:t>沭阳县城东污水处理厂</w:t>
            </w:r>
            <w:r>
              <w:rPr>
                <w:rFonts w:hint="eastAsia" w:eastAsia="宋体" w:cs="宋体"/>
                <w:kern w:val="0"/>
                <w:sz w:val="24"/>
                <w:szCs w:val="24"/>
              </w:rPr>
              <w:t>统一处理后排放。污水处理厂排放标准执行《城镇污水处理厂污染物排放标准》（</w:t>
            </w:r>
            <w:r>
              <w:rPr>
                <w:rFonts w:eastAsia="宋体" w:cs="宋体"/>
                <w:kern w:val="0"/>
                <w:sz w:val="24"/>
                <w:szCs w:val="24"/>
              </w:rPr>
              <w:t>GB18918-2002</w:t>
            </w:r>
            <w:r>
              <w:rPr>
                <w:rFonts w:hint="eastAsia" w:eastAsia="宋体" w:cs="宋体"/>
                <w:kern w:val="0"/>
                <w:sz w:val="24"/>
                <w:szCs w:val="24"/>
              </w:rPr>
              <w:t>）一级A标准。排入市政污水管网的各污染物排放量分别为</w:t>
            </w:r>
            <w:r>
              <w:rPr>
                <w:rFonts w:eastAsia="宋体"/>
                <w:color w:val="000000"/>
                <w:kern w:val="0"/>
                <w:sz w:val="24"/>
                <w:szCs w:val="24"/>
              </w:rPr>
              <w:t>COD≤0.21t/a、SS≤0.14t/a、氨氮≤0.017t/a、TP ≤0.0021t/a、TN ≤0.031t/a，</w:t>
            </w:r>
            <w:r>
              <w:rPr>
                <w:rFonts w:hint="eastAsia" w:eastAsia="宋体" w:cs="宋体"/>
                <w:kern w:val="0"/>
                <w:sz w:val="24"/>
                <w:szCs w:val="24"/>
              </w:rPr>
              <w:t>经污水处理厂进一步处理后排入河体环境的各污染物排放量分别为</w:t>
            </w:r>
            <w:r>
              <w:rPr>
                <w:rFonts w:eastAsia="宋体"/>
                <w:color w:val="000000"/>
                <w:kern w:val="0"/>
                <w:sz w:val="24"/>
                <w:szCs w:val="24"/>
              </w:rPr>
              <w:t>COD≤0.0034t/a、SS≤0.007t/a、氨氮≤0.0034t/a（0.0055t/a）、TP ≤0.00034t/a、TN≤0.010t/a</w:t>
            </w:r>
            <w:r>
              <w:rPr>
                <w:rFonts w:hint="eastAsia" w:eastAsia="宋体" w:cs="宋体"/>
                <w:kern w:val="0"/>
                <w:sz w:val="24"/>
                <w:szCs w:val="24"/>
              </w:rPr>
              <w:t>。综上所述，项目废水排入</w:t>
            </w:r>
            <w:r>
              <w:rPr>
                <w:rFonts w:hint="eastAsia" w:eastAsia="宋体"/>
                <w:bCs/>
                <w:sz w:val="24"/>
                <w:szCs w:val="24"/>
              </w:rPr>
              <w:t>沭阳县城东污水处理厂</w:t>
            </w:r>
            <w:r>
              <w:rPr>
                <w:rFonts w:hint="eastAsia" w:eastAsia="宋体" w:cs="宋体"/>
                <w:kern w:val="0"/>
                <w:sz w:val="24"/>
                <w:szCs w:val="24"/>
              </w:rPr>
              <w:t>集中处理，不会对周边水环境造成不利影响。</w:t>
            </w:r>
          </w:p>
          <w:p>
            <w:pPr>
              <w:tabs>
                <w:tab w:val="left" w:pos="1680"/>
              </w:tabs>
              <w:ind w:firstLine="480" w:firstLineChars="200"/>
              <w:rPr>
                <w:rFonts w:eastAsia="宋体"/>
                <w:bCs/>
                <w:kern w:val="0"/>
                <w:sz w:val="24"/>
                <w:szCs w:val="24"/>
              </w:rPr>
            </w:pPr>
            <w:r>
              <w:rPr>
                <w:rFonts w:hint="eastAsia" w:eastAsia="宋体"/>
                <w:bCs/>
                <w:kern w:val="0"/>
                <w:sz w:val="24"/>
                <w:szCs w:val="24"/>
              </w:rPr>
              <w:t>排入</w:t>
            </w:r>
            <w:r>
              <w:rPr>
                <w:rFonts w:hint="eastAsia" w:eastAsia="宋体"/>
                <w:kern w:val="0"/>
                <w:sz w:val="24"/>
                <w:szCs w:val="24"/>
              </w:rPr>
              <w:t>沭阳县城东污水处理厂</w:t>
            </w:r>
            <w:r>
              <w:rPr>
                <w:rFonts w:hint="eastAsia" w:eastAsia="宋体"/>
                <w:bCs/>
                <w:kern w:val="0"/>
                <w:sz w:val="24"/>
                <w:szCs w:val="24"/>
              </w:rPr>
              <w:t>可行性分析：</w:t>
            </w:r>
          </w:p>
          <w:p>
            <w:pPr>
              <w:autoSpaceDE w:val="0"/>
              <w:autoSpaceDN w:val="0"/>
              <w:adjustRightInd w:val="0"/>
              <w:ind w:right="140" w:rightChars="50" w:firstLine="480" w:firstLineChars="200"/>
              <w:rPr>
                <w:rFonts w:eastAsia="宋体" w:cs="宋体"/>
                <w:kern w:val="0"/>
                <w:sz w:val="24"/>
                <w:szCs w:val="24"/>
              </w:rPr>
            </w:pPr>
            <w:r>
              <w:rPr>
                <w:rFonts w:hint="eastAsia" w:eastAsia="宋体"/>
                <w:kern w:val="0"/>
                <w:sz w:val="24"/>
                <w:szCs w:val="24"/>
              </w:rPr>
              <w:t>沭阳县城东污水处理厂</w:t>
            </w:r>
            <w:r>
              <w:rPr>
                <w:rFonts w:hint="eastAsia" w:eastAsia="宋体" w:cs="宋体"/>
                <w:kern w:val="0"/>
                <w:sz w:val="24"/>
                <w:szCs w:val="24"/>
              </w:rPr>
              <w:t>的接管浓度为</w:t>
            </w:r>
            <w:r>
              <w:rPr>
                <w:rFonts w:eastAsia="宋体" w:cs="宋体"/>
                <w:kern w:val="0"/>
                <w:sz w:val="24"/>
                <w:szCs w:val="24"/>
              </w:rPr>
              <w:t>COD≤</w:t>
            </w:r>
            <w:r>
              <w:rPr>
                <w:rFonts w:hint="eastAsia" w:eastAsia="宋体" w:cs="宋体"/>
                <w:kern w:val="0"/>
                <w:sz w:val="24"/>
                <w:szCs w:val="24"/>
              </w:rPr>
              <w:t>500</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400</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NH</w:t>
            </w:r>
            <w:r>
              <w:rPr>
                <w:rFonts w:eastAsia="宋体" w:cs="宋体"/>
                <w:kern w:val="0"/>
                <w:sz w:val="24"/>
                <w:szCs w:val="24"/>
                <w:vertAlign w:val="subscript"/>
              </w:rPr>
              <w:t>3</w:t>
            </w:r>
            <w:r>
              <w:rPr>
                <w:rFonts w:eastAsia="宋体" w:cs="宋体"/>
                <w:kern w:val="0"/>
                <w:sz w:val="24"/>
                <w:szCs w:val="24"/>
              </w:rPr>
              <w:t>-N≤</w:t>
            </w:r>
            <w:r>
              <w:rPr>
                <w:rFonts w:hint="eastAsia" w:eastAsia="宋体" w:cs="宋体"/>
                <w:kern w:val="0"/>
                <w:sz w:val="24"/>
                <w:szCs w:val="24"/>
              </w:rPr>
              <w:t>35</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TP≤</w:t>
            </w:r>
            <w:r>
              <w:rPr>
                <w:rFonts w:hint="eastAsia" w:eastAsia="宋体" w:cs="宋体"/>
                <w:kern w:val="0"/>
                <w:sz w:val="24"/>
                <w:szCs w:val="24"/>
              </w:rPr>
              <w:t>8</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w:t>
            </w:r>
            <w:r>
              <w:rPr>
                <w:rFonts w:eastAsia="宋体" w:cs="宋体"/>
                <w:kern w:val="0"/>
                <w:sz w:val="24"/>
                <w:szCs w:val="24"/>
              </w:rPr>
              <w:t>≤</w:t>
            </w:r>
            <w:r>
              <w:rPr>
                <w:rFonts w:hint="eastAsia" w:eastAsia="宋体" w:cs="宋体"/>
                <w:kern w:val="0"/>
                <w:sz w:val="24"/>
                <w:szCs w:val="24"/>
              </w:rPr>
              <w:t>45</w:t>
            </w:r>
            <w:r>
              <w:rPr>
                <w:rFonts w:eastAsia="宋体" w:cs="宋体"/>
                <w:kern w:val="0"/>
                <w:sz w:val="24"/>
                <w:szCs w:val="24"/>
              </w:rPr>
              <w:t>mg/L</w:t>
            </w:r>
            <w:r>
              <w:rPr>
                <w:rFonts w:hint="eastAsia" w:eastAsia="宋体" w:cs="宋体"/>
                <w:kern w:val="0"/>
                <w:sz w:val="24"/>
                <w:szCs w:val="24"/>
              </w:rPr>
              <w:t>，项目排入污水厂的污水浓度为</w:t>
            </w:r>
            <w:r>
              <w:rPr>
                <w:rFonts w:eastAsia="宋体" w:cs="宋体"/>
                <w:kern w:val="0"/>
                <w:sz w:val="24"/>
                <w:szCs w:val="24"/>
              </w:rPr>
              <w:t>COD≤</w:t>
            </w:r>
            <w:r>
              <w:rPr>
                <w:rFonts w:hint="eastAsia" w:eastAsia="宋体" w:cs="宋体"/>
                <w:kern w:val="0"/>
                <w:sz w:val="24"/>
                <w:szCs w:val="24"/>
              </w:rPr>
              <w:t>30</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20</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NH</w:t>
            </w:r>
            <w:r>
              <w:rPr>
                <w:rFonts w:eastAsia="宋体" w:cs="宋体"/>
                <w:kern w:val="0"/>
                <w:sz w:val="24"/>
                <w:szCs w:val="24"/>
                <w:vertAlign w:val="subscript"/>
              </w:rPr>
              <w:t>3</w:t>
            </w:r>
            <w:r>
              <w:rPr>
                <w:rFonts w:eastAsia="宋体" w:cs="宋体"/>
                <w:kern w:val="0"/>
                <w:sz w:val="24"/>
                <w:szCs w:val="24"/>
              </w:rPr>
              <w:t>-N≤</w:t>
            </w:r>
            <w:r>
              <w:rPr>
                <w:rFonts w:hint="eastAsia" w:eastAsia="宋体" w:cs="宋体"/>
                <w:kern w:val="0"/>
                <w:sz w:val="24"/>
                <w:szCs w:val="24"/>
              </w:rPr>
              <w:t>2</w:t>
            </w:r>
            <w:r>
              <w:rPr>
                <w:rFonts w:eastAsia="宋体" w:cs="宋体"/>
                <w:kern w:val="0"/>
                <w:sz w:val="24"/>
                <w:szCs w:val="24"/>
              </w:rPr>
              <w:t>5mg/L</w:t>
            </w:r>
            <w:r>
              <w:rPr>
                <w:rFonts w:hint="eastAsia" w:eastAsia="宋体" w:cs="宋体"/>
                <w:kern w:val="0"/>
                <w:sz w:val="24"/>
                <w:szCs w:val="24"/>
              </w:rPr>
              <w:t>、</w:t>
            </w:r>
            <w:r>
              <w:rPr>
                <w:rFonts w:eastAsia="宋体" w:cs="宋体"/>
                <w:kern w:val="0"/>
                <w:sz w:val="24"/>
                <w:szCs w:val="24"/>
              </w:rPr>
              <w:t>TP≤3mg/L</w:t>
            </w:r>
            <w:r>
              <w:rPr>
                <w:rFonts w:hint="eastAsia" w:eastAsia="宋体" w:cs="宋体"/>
                <w:kern w:val="0"/>
                <w:sz w:val="24"/>
                <w:szCs w:val="24"/>
              </w:rPr>
              <w:t>、TN≤45</w:t>
            </w:r>
            <w:r>
              <w:rPr>
                <w:rFonts w:eastAsia="宋体" w:cs="宋体"/>
                <w:kern w:val="0"/>
                <w:sz w:val="24"/>
                <w:szCs w:val="24"/>
              </w:rPr>
              <w:t>mg/L</w:t>
            </w:r>
            <w:r>
              <w:rPr>
                <w:rFonts w:hint="eastAsia" w:eastAsia="宋体" w:cs="宋体"/>
                <w:kern w:val="0"/>
                <w:sz w:val="24"/>
                <w:szCs w:val="24"/>
              </w:rPr>
              <w:t>，故本项目的污水浓度符合</w:t>
            </w:r>
            <w:r>
              <w:rPr>
                <w:rFonts w:hint="eastAsia" w:eastAsia="宋体"/>
                <w:bCs/>
                <w:sz w:val="24"/>
                <w:szCs w:val="24"/>
              </w:rPr>
              <w:t>沭阳县城东污水处理厂</w:t>
            </w:r>
            <w:r>
              <w:rPr>
                <w:rFonts w:hint="eastAsia" w:eastAsia="宋体" w:cs="宋体"/>
                <w:kern w:val="0"/>
                <w:sz w:val="24"/>
                <w:szCs w:val="24"/>
              </w:rPr>
              <w:t>的接管标准。目前</w:t>
            </w:r>
            <w:r>
              <w:rPr>
                <w:rFonts w:hint="eastAsia" w:eastAsia="宋体"/>
                <w:bCs/>
                <w:sz w:val="24"/>
                <w:szCs w:val="24"/>
              </w:rPr>
              <w:t>沭阳县城东污水处理厂</w:t>
            </w:r>
            <w:r>
              <w:rPr>
                <w:rFonts w:hint="eastAsia" w:eastAsia="宋体" w:cs="宋体"/>
                <w:kern w:val="0"/>
                <w:sz w:val="24"/>
                <w:szCs w:val="24"/>
              </w:rPr>
              <w:t>正常运行，本项目所在区域属于</w:t>
            </w:r>
            <w:r>
              <w:rPr>
                <w:rFonts w:hint="eastAsia" w:eastAsia="宋体"/>
                <w:bCs/>
                <w:sz w:val="24"/>
                <w:szCs w:val="24"/>
              </w:rPr>
              <w:t>沭阳县城东污水处理厂</w:t>
            </w:r>
            <w:r>
              <w:rPr>
                <w:rFonts w:hint="eastAsia" w:eastAsia="宋体" w:cs="宋体"/>
                <w:kern w:val="0"/>
                <w:sz w:val="24"/>
                <w:szCs w:val="24"/>
              </w:rPr>
              <w:t>收水范围。目前该区域的污水管网已经铺设到位，因此，</w:t>
            </w:r>
            <w:r>
              <w:rPr>
                <w:rFonts w:hint="eastAsia" w:eastAsia="宋体"/>
                <w:bCs/>
                <w:sz w:val="24"/>
                <w:szCs w:val="24"/>
              </w:rPr>
              <w:t>沭阳县城东污水处理厂</w:t>
            </w:r>
            <w:r>
              <w:rPr>
                <w:rFonts w:hint="eastAsia" w:eastAsia="宋体" w:cs="宋体"/>
                <w:kern w:val="0"/>
                <w:sz w:val="24"/>
                <w:szCs w:val="24"/>
              </w:rPr>
              <w:t>具有接纳本项目生活污水的可行性。</w:t>
            </w:r>
          </w:p>
          <w:p>
            <w:pPr>
              <w:ind w:firstLine="482" w:firstLineChars="200"/>
              <w:rPr>
                <w:rFonts w:eastAsia="宋体"/>
                <w:b/>
                <w:sz w:val="24"/>
                <w:szCs w:val="24"/>
              </w:rPr>
            </w:pPr>
            <w:r>
              <w:rPr>
                <w:rFonts w:hint="eastAsia" w:eastAsia="宋体"/>
                <w:b/>
                <w:sz w:val="24"/>
                <w:szCs w:val="24"/>
              </w:rPr>
              <w:t>7.2.3</w:t>
            </w:r>
            <w:r>
              <w:rPr>
                <w:rFonts w:eastAsia="宋体"/>
                <w:b/>
                <w:sz w:val="24"/>
                <w:szCs w:val="24"/>
              </w:rPr>
              <w:t>噪声环境影响分析</w:t>
            </w:r>
          </w:p>
          <w:p>
            <w:pPr>
              <w:adjustRightInd w:val="0"/>
              <w:snapToGrid w:val="0"/>
              <w:ind w:firstLine="480" w:firstLineChars="200"/>
            </w:pPr>
            <w:r>
              <w:rPr>
                <w:rFonts w:eastAsia="宋体"/>
                <w:bCs/>
                <w:sz w:val="24"/>
                <w:szCs w:val="24"/>
              </w:rPr>
              <w:t>本项目噪声主要来源于车辆在进出加油站时产生的交通噪声</w:t>
            </w:r>
            <w:r>
              <w:rPr>
                <w:rFonts w:hint="eastAsia" w:eastAsia="宋体"/>
                <w:bCs/>
                <w:sz w:val="24"/>
                <w:szCs w:val="24"/>
              </w:rPr>
              <w:t>，</w:t>
            </w:r>
            <w:r>
              <w:rPr>
                <w:rFonts w:eastAsia="宋体"/>
                <w:bCs/>
                <w:sz w:val="24"/>
                <w:szCs w:val="24"/>
              </w:rPr>
              <w:t>和加油机加油时产生的噪声</w:t>
            </w:r>
            <w:r>
              <w:rPr>
                <w:rFonts w:eastAsia="宋体"/>
                <w:sz w:val="24"/>
                <w:szCs w:val="24"/>
              </w:rPr>
              <w:t>。</w:t>
            </w:r>
            <w:r>
              <w:rPr>
                <w:rFonts w:eastAsia="宋体"/>
                <w:bCs/>
                <w:sz w:val="24"/>
                <w:szCs w:val="24"/>
              </w:rPr>
              <w:t>进出车辆噪声值为</w:t>
            </w:r>
            <w:r>
              <w:rPr>
                <w:rFonts w:hint="eastAsia" w:eastAsia="宋体"/>
                <w:bCs/>
                <w:sz w:val="24"/>
                <w:szCs w:val="24"/>
              </w:rPr>
              <w:t>65</w:t>
            </w:r>
            <w:r>
              <w:rPr>
                <w:rFonts w:eastAsia="宋体"/>
                <w:bCs/>
                <w:sz w:val="24"/>
                <w:szCs w:val="24"/>
              </w:rPr>
              <w:t>dB（A）</w:t>
            </w:r>
            <w:r>
              <w:rPr>
                <w:rFonts w:hint="eastAsia" w:eastAsia="宋体"/>
                <w:bCs/>
                <w:sz w:val="24"/>
                <w:szCs w:val="24"/>
              </w:rPr>
              <w:t>左右</w:t>
            </w:r>
            <w:r>
              <w:rPr>
                <w:rFonts w:eastAsia="宋体"/>
                <w:bCs/>
                <w:sz w:val="24"/>
                <w:szCs w:val="24"/>
              </w:rPr>
              <w:t>，汽车在加油站内发动机处于关闭状态，禁止鸣笛，所以噪声影响不大。</w:t>
            </w:r>
            <w:r>
              <w:rPr>
                <w:rFonts w:eastAsia="宋体"/>
                <w:sz w:val="24"/>
                <w:szCs w:val="24"/>
              </w:rPr>
              <w:t>夜间加油车辆较少，再加上距离衰减，夜间偶发噪声的最大声级超过限值的幅度不高于15dB（A），对外界影响较小；加油机、潜油泵等噪声源强见表</w:t>
            </w:r>
            <w:r>
              <w:rPr>
                <w:rFonts w:hint="eastAsia" w:eastAsia="宋体"/>
                <w:sz w:val="24"/>
                <w:szCs w:val="24"/>
              </w:rPr>
              <w:t>7-14</w:t>
            </w:r>
            <w:r>
              <w:rPr>
                <w:rFonts w:eastAsia="宋体"/>
                <w:sz w:val="24"/>
                <w:szCs w:val="24"/>
              </w:rPr>
              <w:t>。</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7-14</w:t>
            </w:r>
            <w:r>
              <w:rPr>
                <w:rFonts w:eastAsia="宋体"/>
                <w:b/>
                <w:bCs/>
                <w:sz w:val="24"/>
                <w:szCs w:val="24"/>
              </w:rPr>
              <w:t xml:space="preserve">  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ind w:firstLine="460" w:firstLineChars="192"/>
              <w:rPr>
                <w:rFonts w:eastAsia="宋体"/>
                <w:sz w:val="24"/>
                <w:szCs w:val="24"/>
              </w:rPr>
            </w:pPr>
            <w:r>
              <w:rPr>
                <w:rFonts w:hint="eastAsia" w:eastAsia="宋体"/>
                <w:sz w:val="24"/>
                <w:szCs w:val="24"/>
              </w:rPr>
              <w:t>项目</w:t>
            </w:r>
            <w:r>
              <w:rPr>
                <w:rFonts w:eastAsia="宋体"/>
                <w:sz w:val="24"/>
                <w:szCs w:val="24"/>
              </w:rPr>
              <w:t>在设计和设备定货时</w:t>
            </w:r>
            <w:r>
              <w:rPr>
                <w:rFonts w:hint="eastAsia" w:eastAsia="宋体"/>
                <w:sz w:val="24"/>
                <w:szCs w:val="24"/>
              </w:rPr>
              <w:t>，</w:t>
            </w:r>
            <w:r>
              <w:rPr>
                <w:rFonts w:eastAsia="宋体"/>
                <w:sz w:val="24"/>
                <w:szCs w:val="24"/>
              </w:rPr>
              <w:t>该加油站已经向制造厂商提出噪声控制要求，并对泵体等噪声高的设备采取了隔音降噪的措施。</w:t>
            </w:r>
            <w:r>
              <w:rPr>
                <w:rFonts w:hint="eastAsia" w:eastAsia="宋体"/>
                <w:sz w:val="24"/>
                <w:szCs w:val="24"/>
              </w:rPr>
              <w:t>严格运输过程的管理，减速慢行、严禁鸣笛等。在采取降噪、隔声、设备合理布局等措施后，再经距离衰减，</w:t>
            </w:r>
            <w:r>
              <w:rPr>
                <w:rFonts w:hint="eastAsia" w:eastAsia="宋体"/>
                <w:bCs/>
                <w:color w:val="auto"/>
                <w:sz w:val="24"/>
                <w:szCs w:val="24"/>
              </w:rPr>
              <w:t>参考类似加油站项目的验收检测数据（《中国石化销售股份有限公司泗阳泗水大道加油站项目》验收检测报告），厂界最大噪声值为昼间54.5</w:t>
            </w:r>
            <w:r>
              <w:rPr>
                <w:rFonts w:eastAsia="宋体"/>
                <w:color w:val="auto"/>
                <w:sz w:val="24"/>
                <w:szCs w:val="24"/>
              </w:rPr>
              <w:t xml:space="preserve"> dB（A）</w:t>
            </w:r>
            <w:r>
              <w:rPr>
                <w:rFonts w:hint="eastAsia" w:eastAsia="宋体"/>
                <w:color w:val="auto"/>
                <w:sz w:val="24"/>
                <w:szCs w:val="24"/>
              </w:rPr>
              <w:t>、夜间47.1</w:t>
            </w:r>
            <w:r>
              <w:rPr>
                <w:rFonts w:eastAsia="宋体"/>
                <w:color w:val="auto"/>
                <w:sz w:val="24"/>
                <w:szCs w:val="24"/>
              </w:rPr>
              <w:t xml:space="preserve"> dB（A）</w:t>
            </w:r>
            <w:r>
              <w:rPr>
                <w:rFonts w:hint="eastAsia" w:eastAsia="宋体"/>
                <w:color w:val="auto"/>
                <w:sz w:val="24"/>
                <w:szCs w:val="24"/>
              </w:rPr>
              <w:t>，</w:t>
            </w:r>
            <w:r>
              <w:rPr>
                <w:rFonts w:hint="eastAsia" w:eastAsia="宋体"/>
                <w:bCs/>
                <w:color w:val="auto"/>
                <w:sz w:val="24"/>
                <w:szCs w:val="24"/>
              </w:rPr>
              <w:t>厂界噪声可满足</w:t>
            </w:r>
            <w:r>
              <w:rPr>
                <w:rFonts w:eastAsia="宋体"/>
                <w:bCs/>
                <w:color w:val="auto"/>
                <w:sz w:val="24"/>
                <w:szCs w:val="24"/>
              </w:rPr>
              <w:t>《声环境质量标准》</w:t>
            </w:r>
            <w:r>
              <w:rPr>
                <w:rFonts w:hint="eastAsia" w:eastAsia="宋体"/>
                <w:bCs/>
                <w:color w:val="auto"/>
                <w:sz w:val="24"/>
                <w:szCs w:val="24"/>
              </w:rPr>
              <w:t>（</w:t>
            </w:r>
            <w:r>
              <w:rPr>
                <w:rFonts w:eastAsia="宋体"/>
                <w:bCs/>
                <w:color w:val="auto"/>
                <w:sz w:val="24"/>
                <w:szCs w:val="24"/>
              </w:rPr>
              <w:t>GB3096-2008</w:t>
            </w:r>
            <w:r>
              <w:rPr>
                <w:rFonts w:hint="eastAsia" w:eastAsia="宋体"/>
                <w:bCs/>
                <w:color w:val="auto"/>
                <w:sz w:val="24"/>
                <w:szCs w:val="24"/>
              </w:rPr>
              <w:t>）2</w:t>
            </w:r>
            <w:r>
              <w:rPr>
                <w:rFonts w:eastAsia="宋体"/>
                <w:bCs/>
                <w:color w:val="auto"/>
                <w:sz w:val="24"/>
                <w:szCs w:val="24"/>
              </w:rPr>
              <w:t>类标准要求</w:t>
            </w:r>
            <w:r>
              <w:rPr>
                <w:rFonts w:hint="eastAsia" w:eastAsia="宋体"/>
                <w:bCs/>
                <w:color w:val="auto"/>
                <w:sz w:val="24"/>
                <w:szCs w:val="24"/>
              </w:rPr>
              <w:t>，即</w:t>
            </w:r>
            <w:r>
              <w:rPr>
                <w:rFonts w:hint="eastAsia" w:eastAsia="宋体"/>
                <w:sz w:val="24"/>
                <w:szCs w:val="24"/>
              </w:rPr>
              <w:t>昼间60dB(A) 、夜间50dB(A)的要求，噪声对周围环境影响很小。</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7.2.4</w:t>
            </w:r>
            <w:r>
              <w:rPr>
                <w:rFonts w:ascii="Times New Roman" w:hAnsi="Times New Roman" w:cs="Times New Roman"/>
                <w:b/>
                <w:sz w:val="24"/>
                <w:szCs w:val="24"/>
              </w:rPr>
              <w:t>固废环境影响分析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项目年产生的生活垃圾约</w:t>
            </w:r>
            <w:r>
              <w:rPr>
                <w:rFonts w:hint="eastAsia" w:ascii="Times New Roman" w:hAnsi="Times New Roman" w:cs="Times New Roman"/>
                <w:sz w:val="24"/>
                <w:szCs w:val="24"/>
              </w:rPr>
              <w:t>8.6</w:t>
            </w:r>
            <w:r>
              <w:rPr>
                <w:rFonts w:ascii="Times New Roman" w:hAnsi="Times New Roman" w:cs="Times New Roman"/>
                <w:sz w:val="24"/>
                <w:szCs w:val="24"/>
              </w:rPr>
              <w:t>t/a，生活垃圾暂存于垃圾桶由当地环卫部门清运至垃圾填埋场卫生填埋</w:t>
            </w:r>
            <w:r>
              <w:rPr>
                <w:rFonts w:hint="eastAsia" w:ascii="Times New Roman" w:hAnsi="Times New Roman" w:cs="Times New Roman"/>
                <w:sz w:val="24"/>
                <w:szCs w:val="24"/>
              </w:rPr>
              <w:t>。</w:t>
            </w:r>
            <w:r>
              <w:rPr>
                <w:rFonts w:ascii="Times New Roman" w:hAnsi="Times New Roman" w:cs="Times New Roman"/>
                <w:sz w:val="24"/>
                <w:szCs w:val="24"/>
              </w:rPr>
              <w:t>项目需定期</w:t>
            </w:r>
            <w:r>
              <w:rPr>
                <w:rFonts w:hint="eastAsia" w:ascii="Times New Roman" w:hAnsi="Times New Roman" w:cs="Times New Roman"/>
                <w:sz w:val="24"/>
                <w:szCs w:val="24"/>
              </w:rPr>
              <w:t>委托专业单位对油罐进行清理</w:t>
            </w:r>
            <w:r>
              <w:rPr>
                <w:rFonts w:ascii="Times New Roman" w:hAnsi="Times New Roman" w:cs="Times New Roman"/>
                <w:sz w:val="24"/>
                <w:szCs w:val="24"/>
              </w:rPr>
              <w:t>，清罐产生的油渣属于危险废物（HW08废矿物油）。油渣</w:t>
            </w:r>
            <w:r>
              <w:rPr>
                <w:rFonts w:hint="eastAsia" w:ascii="Times New Roman" w:hAnsi="Times New Roman" w:cs="Times New Roman"/>
                <w:sz w:val="24"/>
                <w:szCs w:val="24"/>
              </w:rPr>
              <w:t>清出后立即由清罐专业单位运至</w:t>
            </w:r>
            <w:r>
              <w:rPr>
                <w:rFonts w:ascii="Times New Roman" w:hAnsi="Times New Roman" w:cs="Times New Roman"/>
                <w:sz w:val="24"/>
                <w:szCs w:val="24"/>
              </w:rPr>
              <w:t>有资质单位安全处置</w:t>
            </w:r>
            <w:r>
              <w:rPr>
                <w:rFonts w:hint="eastAsia" w:ascii="Times New Roman" w:hAnsi="Times New Roman" w:cs="Times New Roman"/>
                <w:sz w:val="24"/>
                <w:szCs w:val="24"/>
              </w:rPr>
              <w:t>，因此本项目不设置危废库</w:t>
            </w:r>
            <w:r>
              <w:rPr>
                <w:rFonts w:ascii="Times New Roman" w:hAnsi="Times New Roman" w:cs="Times New Roman"/>
                <w:sz w:val="24"/>
                <w:szCs w:val="24"/>
              </w:rPr>
              <w:t>。建设项目固体废物利用处置方式评价详见表7-</w:t>
            </w:r>
            <w:r>
              <w:rPr>
                <w:rFonts w:hint="eastAsia" w:ascii="Times New Roman" w:hAnsi="Times New Roman" w:cs="Times New Roman"/>
                <w:sz w:val="24"/>
                <w:szCs w:val="24"/>
              </w:rPr>
              <w:t>15</w:t>
            </w:r>
            <w:r>
              <w:rPr>
                <w:rFonts w:ascii="Times New Roman" w:hAnsi="Times New Roman" w:cs="Times New Roman"/>
                <w:sz w:val="24"/>
                <w:szCs w:val="24"/>
              </w:rPr>
              <w:t>。</w:t>
            </w:r>
          </w:p>
          <w:p>
            <w:pPr>
              <w:pStyle w:val="13"/>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15</w:t>
            </w:r>
            <w:r>
              <w:rPr>
                <w:rFonts w:ascii="Times New Roman" w:hAnsi="Times New Roman" w:cs="Times New Roman"/>
                <w:b/>
                <w:sz w:val="24"/>
                <w:szCs w:val="24"/>
              </w:rPr>
              <w:t xml:space="preserve">  建设项目固体废物利用处置方式评价表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06"/>
              <w:gridCol w:w="1148"/>
              <w:gridCol w:w="1096"/>
              <w:gridCol w:w="1713"/>
              <w:gridCol w:w="1275"/>
              <w:gridCol w:w="1085"/>
              <w:gridCol w:w="1100"/>
              <w:gridCol w:w="114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固体废物名称</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工序</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属性（危险废物、一般工业固体废物或待鉴别）</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利用处置方式</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利用处置单位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.00t/3a</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焚烧</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委托有资质单位安全处置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8.6t/a</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环卫清运</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环卫部门</w:t>
                  </w:r>
                </w:p>
              </w:tc>
            </w:tr>
          </w:tbl>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采取以上措施后，本项目产生的各种固体废物均得到了有效处理，不会造成二次污染，从环保角度考虑，固体废物防治措施可行。</w:t>
            </w:r>
          </w:p>
          <w:p>
            <w:pPr>
              <w:ind w:firstLine="482" w:firstLineChars="200"/>
              <w:rPr>
                <w:rFonts w:eastAsia="宋体"/>
                <w:b/>
                <w:sz w:val="24"/>
                <w:szCs w:val="24"/>
              </w:rPr>
            </w:pPr>
            <w:r>
              <w:rPr>
                <w:rFonts w:hint="eastAsia" w:eastAsia="宋体"/>
                <w:b/>
                <w:sz w:val="24"/>
                <w:szCs w:val="24"/>
              </w:rPr>
              <w:t>7.2.5</w:t>
            </w:r>
            <w:r>
              <w:rPr>
                <w:rFonts w:eastAsia="宋体"/>
                <w:b/>
                <w:sz w:val="24"/>
                <w:szCs w:val="24"/>
              </w:rPr>
              <w:t>地下水环境影响分析</w:t>
            </w:r>
          </w:p>
          <w:p>
            <w:pPr>
              <w:adjustRightInd w:val="0"/>
              <w:snapToGrid w:val="0"/>
              <w:ind w:firstLine="480" w:firstLineChars="200"/>
              <w:rPr>
                <w:rFonts w:eastAsia="宋体"/>
                <w:sz w:val="24"/>
                <w:szCs w:val="24"/>
              </w:rPr>
            </w:pPr>
            <w:r>
              <w:rPr>
                <w:rFonts w:hint="eastAsia" w:eastAsia="宋体"/>
                <w:sz w:val="24"/>
                <w:szCs w:val="24"/>
              </w:rPr>
              <w:t>（一）等级判断</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根据《环境影响评价技术导则 地下水环境》（HJ610-2016）附录A，加油站属于182、加油、加气站，属于Ⅱ类项目。</w:t>
            </w:r>
          </w:p>
          <w:p>
            <w:pPr>
              <w:autoSpaceDE w:val="0"/>
              <w:autoSpaceDN w:val="0"/>
              <w:adjustRightInd w:val="0"/>
              <w:ind w:right="140" w:rightChars="50" w:firstLine="480" w:firstLineChars="200"/>
              <w:rPr>
                <w:rFonts w:eastAsia="宋体" w:cs="宋体"/>
                <w:kern w:val="0"/>
                <w:sz w:val="24"/>
                <w:szCs w:val="24"/>
              </w:rPr>
            </w:pPr>
            <w:r>
              <w:rPr>
                <w:rFonts w:hint="eastAsia" w:eastAsia="宋体"/>
                <w:sz w:val="24"/>
                <w:szCs w:val="24"/>
              </w:rPr>
              <w:t>本项目所在地距离新沂河（沭阳县）洪水调蓄区最近距离650m</w:t>
            </w:r>
            <w:r>
              <w:rPr>
                <w:rFonts w:eastAsia="宋体"/>
                <w:sz w:val="24"/>
                <w:szCs w:val="24"/>
              </w:rPr>
              <w:t>。</w:t>
            </w:r>
            <w:r>
              <w:rPr>
                <w:rFonts w:hint="eastAsia" w:eastAsia="宋体"/>
                <w:sz w:val="24"/>
                <w:szCs w:val="24"/>
              </w:rPr>
              <w:t>因此，本项目地下水环境敏感程度为不敏感。</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根据地下水导则评价工作等级分级表，本项目应开展三级评价。</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（二）影响途径分析</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储油罐和输油管线的泄漏或渗漏会对地下水和土壤造成污染。一旦发生漏油，需要立即采取措施使污染源得到及时控制，但由于含水层和土壤的自净降解是一个长期过程，环境完全恢复到污染前的水平需很长的时间。</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根据本项目建设内容和工程分析，本项目可能污染地面造成</w:t>
            </w:r>
            <w:r>
              <w:rPr>
                <w:rFonts w:hint="eastAsia" w:eastAsia="宋体" w:cs="宋体"/>
                <w:kern w:val="0"/>
                <w:sz w:val="24"/>
                <w:szCs w:val="24"/>
              </w:rPr>
              <w:t>地下水</w:t>
            </w:r>
            <w:r>
              <w:rPr>
                <w:rFonts w:eastAsia="宋体" w:cs="宋体"/>
                <w:kern w:val="0"/>
                <w:sz w:val="24"/>
                <w:szCs w:val="24"/>
              </w:rPr>
              <w:t>污染的主要途径见表</w:t>
            </w:r>
            <w:r>
              <w:rPr>
                <w:rFonts w:hint="eastAsia" w:eastAsia="宋体" w:cs="宋体"/>
                <w:kern w:val="0"/>
                <w:sz w:val="24"/>
                <w:szCs w:val="24"/>
              </w:rPr>
              <w:t>7-16</w:t>
            </w:r>
            <w:r>
              <w:rPr>
                <w:rFonts w:eastAsia="宋体" w:cs="宋体"/>
                <w:kern w:val="0"/>
                <w:sz w:val="24"/>
                <w:szCs w:val="24"/>
              </w:rPr>
              <w:t>。</w:t>
            </w:r>
          </w:p>
          <w:p>
            <w:pPr>
              <w:widowControl w:val="0"/>
              <w:spacing w:after="120" w:line="240" w:lineRule="auto"/>
              <w:ind w:firstLine="241" w:firstLineChars="100"/>
              <w:jc w:val="center"/>
              <w:rPr>
                <w:rFonts w:eastAsia="宋体"/>
                <w:b/>
                <w:sz w:val="24"/>
                <w:szCs w:val="24"/>
              </w:rPr>
            </w:pPr>
            <w:r>
              <w:rPr>
                <w:rFonts w:eastAsia="宋体"/>
                <w:b/>
                <w:sz w:val="24"/>
                <w:szCs w:val="24"/>
              </w:rPr>
              <w:t>表</w:t>
            </w:r>
            <w:r>
              <w:rPr>
                <w:rFonts w:hint="eastAsia" w:eastAsia="宋体"/>
                <w:b/>
                <w:sz w:val="24"/>
                <w:szCs w:val="24"/>
              </w:rPr>
              <w:t>7-16</w:t>
            </w:r>
            <w:r>
              <w:rPr>
                <w:rFonts w:eastAsia="宋体"/>
                <w:b/>
                <w:sz w:val="24"/>
                <w:szCs w:val="24"/>
              </w:rPr>
              <w:t xml:space="preserve">  地下水污染途径分析表</w:t>
            </w:r>
          </w:p>
          <w:tbl>
            <w:tblPr>
              <w:tblStyle w:val="28"/>
              <w:tblW w:w="924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4"/>
              <w:gridCol w:w="3926"/>
              <w:gridCol w:w="30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37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污染源</w:t>
                  </w:r>
                </w:p>
              </w:tc>
              <w:tc>
                <w:tcPr>
                  <w:tcW w:w="39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泄漏部位/触发情况</w:t>
                  </w:r>
                </w:p>
              </w:tc>
              <w:tc>
                <w:tcPr>
                  <w:tcW w:w="3063" w:type="dxa"/>
                  <w:vAlign w:val="center"/>
                </w:tcPr>
                <w:p>
                  <w:pPr>
                    <w:jc w:val="center"/>
                    <w:textAlignment w:val="center"/>
                    <w:rPr>
                      <w:rFonts w:eastAsia="宋体"/>
                      <w:sz w:val="21"/>
                      <w:szCs w:val="21"/>
                    </w:rPr>
                  </w:pPr>
                  <w:r>
                    <w:rPr>
                      <w:rFonts w:eastAsia="宋体"/>
                      <w:sz w:val="21"/>
                      <w:szCs w:val="21"/>
                    </w:rPr>
                    <w:t>污染途径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37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储罐区</w:t>
                  </w:r>
                </w:p>
              </w:tc>
              <w:tc>
                <w:tcPr>
                  <w:tcW w:w="39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在收发油过程中，由于操作失误，致使油类泄漏；各个管道接口不严，致使跑冒滴漏现象发生</w:t>
                  </w:r>
                </w:p>
              </w:tc>
              <w:tc>
                <w:tcPr>
                  <w:tcW w:w="3063" w:type="dxa"/>
                  <w:vMerge w:val="restart"/>
                  <w:vAlign w:val="center"/>
                </w:tcPr>
                <w:p>
                  <w:pPr>
                    <w:spacing w:line="240" w:lineRule="auto"/>
                    <w:jc w:val="center"/>
                    <w:rPr>
                      <w:rFonts w:eastAsia="宋体"/>
                      <w:sz w:val="21"/>
                      <w:szCs w:val="21"/>
                    </w:rPr>
                  </w:pPr>
                  <w:r>
                    <w:rPr>
                      <w:rFonts w:eastAsia="宋体"/>
                      <w:sz w:val="21"/>
                      <w:szCs w:val="21"/>
                    </w:rPr>
                    <w:t>泄漏后，若不能及时补救、收集，可能通过储罐区表层土壤渗漏，造成土壤或地下水污染隐患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37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输送管道</w:t>
                  </w:r>
                </w:p>
              </w:tc>
              <w:tc>
                <w:tcPr>
                  <w:tcW w:w="392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输油管道腐蚀致使油类泄漏</w:t>
                  </w:r>
                </w:p>
              </w:tc>
              <w:tc>
                <w:tcPr>
                  <w:tcW w:w="3063" w:type="dxa"/>
                  <w:vMerge w:val="continue"/>
                  <w:vAlign w:val="center"/>
                </w:tcPr>
                <w:p>
                  <w:pPr>
                    <w:jc w:val="center"/>
                    <w:textAlignment w:val="center"/>
                    <w:rPr>
                      <w:color w:val="000000"/>
                      <w:szCs w:val="21"/>
                    </w:rPr>
                  </w:pPr>
                </w:p>
              </w:tc>
            </w:tr>
          </w:tbl>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w:t>
            </w:r>
            <w:r>
              <w:rPr>
                <w:rFonts w:hint="eastAsia" w:eastAsia="宋体" w:cs="宋体"/>
                <w:kern w:val="0"/>
                <w:sz w:val="24"/>
                <w:szCs w:val="24"/>
              </w:rPr>
              <w:t>三</w:t>
            </w:r>
            <w:r>
              <w:rPr>
                <w:rFonts w:eastAsia="宋体" w:cs="宋体"/>
                <w:kern w:val="0"/>
                <w:sz w:val="24"/>
                <w:szCs w:val="24"/>
              </w:rPr>
              <w:t>）</w:t>
            </w:r>
            <w:r>
              <w:rPr>
                <w:rFonts w:hint="eastAsia" w:eastAsia="宋体" w:cs="宋体"/>
                <w:kern w:val="0"/>
                <w:sz w:val="24"/>
                <w:szCs w:val="24"/>
              </w:rPr>
              <w:t>地下</w:t>
            </w:r>
            <w:r>
              <w:rPr>
                <w:rFonts w:eastAsia="宋体" w:cs="宋体"/>
                <w:kern w:val="0"/>
                <w:sz w:val="24"/>
                <w:szCs w:val="24"/>
              </w:rPr>
              <w:t>水污染模型预测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 1 \* GB3 \* MERGEFORMAT </w:instrText>
            </w:r>
            <w:r>
              <w:rPr>
                <w:rFonts w:eastAsia="宋体" w:cs="宋体"/>
                <w:kern w:val="0"/>
                <w:sz w:val="24"/>
                <w:szCs w:val="24"/>
              </w:rPr>
              <w:fldChar w:fldCharType="separate"/>
            </w:r>
            <w:r>
              <w:rPr>
                <w:rFonts w:eastAsia="宋体" w:cs="宋体"/>
                <w:kern w:val="0"/>
                <w:sz w:val="24"/>
                <w:szCs w:val="24"/>
              </w:rPr>
              <w:t>①</w:t>
            </w:r>
            <w:r>
              <w:rPr>
                <w:rFonts w:eastAsia="宋体" w:cs="宋体"/>
                <w:kern w:val="0"/>
                <w:sz w:val="24"/>
                <w:szCs w:val="24"/>
              </w:rPr>
              <w:fldChar w:fldCharType="end"/>
            </w:r>
            <w:r>
              <w:rPr>
                <w:rFonts w:eastAsia="宋体" w:cs="宋体"/>
                <w:kern w:val="0"/>
                <w:sz w:val="24"/>
                <w:szCs w:val="24"/>
              </w:rPr>
              <w:t>地下水污染源和污染情景分析</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在正常工况下，本项目不会有大量油品泄漏，仅在加油作业过程中会有少量的跑冒滴漏油品落在地表，地表均为符合设计要求的硬化地面，基本不会对地下水造成污染。</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本项目储罐材质为双层储罐，罐体外层由玻璃纤维包裹，输油管线材质为无缝钢管。油罐放置于放置于防渗混凝土浇筑为一体的罐池内，罐池内表面做水泥砂浆抹面，并找平和压实。油罐正常状态下不会有油品泄漏。如一旦发生泄漏，可及时通过渗漏检测功能的液位监测系统得知，并及时对泄漏区域进行排查和封堵。</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由于汽油的危险性较大，因此本项目针对发生汽油管道腐蚀泄漏情况下进行地下水环境影响预测。设定泄漏状态如表</w:t>
            </w:r>
            <w:r>
              <w:rPr>
                <w:rFonts w:hint="eastAsia" w:eastAsia="宋体" w:cs="宋体"/>
                <w:kern w:val="0"/>
                <w:sz w:val="24"/>
                <w:szCs w:val="24"/>
              </w:rPr>
              <w:t>7-17</w:t>
            </w:r>
            <w:r>
              <w:rPr>
                <w:rFonts w:eastAsia="宋体" w:cs="宋体"/>
                <w:kern w:val="0"/>
                <w:sz w:val="24"/>
                <w:szCs w:val="24"/>
              </w:rPr>
              <w:t>所示。</w:t>
            </w:r>
          </w:p>
          <w:p>
            <w:pPr>
              <w:widowControl w:val="0"/>
              <w:spacing w:after="120" w:line="240" w:lineRule="auto"/>
              <w:ind w:firstLine="241" w:firstLineChars="100"/>
              <w:jc w:val="center"/>
              <w:rPr>
                <w:rFonts w:eastAsia="宋体"/>
                <w:b/>
                <w:sz w:val="24"/>
                <w:szCs w:val="24"/>
              </w:rPr>
            </w:pPr>
            <w:r>
              <w:rPr>
                <w:rFonts w:eastAsia="宋体"/>
                <w:b/>
                <w:sz w:val="24"/>
                <w:szCs w:val="24"/>
              </w:rPr>
              <w:t>表</w:t>
            </w:r>
            <w:r>
              <w:rPr>
                <w:rFonts w:hint="eastAsia" w:eastAsia="宋体"/>
                <w:b/>
                <w:sz w:val="24"/>
                <w:szCs w:val="24"/>
              </w:rPr>
              <w:t>7-17</w:t>
            </w:r>
            <w:r>
              <w:rPr>
                <w:rFonts w:eastAsia="宋体"/>
                <w:b/>
                <w:sz w:val="24"/>
                <w:szCs w:val="24"/>
              </w:rPr>
              <w:t xml:space="preserve"> 泄漏事故场景设定</w:t>
            </w:r>
          </w:p>
          <w:tbl>
            <w:tblPr>
              <w:tblStyle w:val="28"/>
              <w:tblW w:w="92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417"/>
              <w:gridCol w:w="1701"/>
              <w:gridCol w:w="2432"/>
              <w:gridCol w:w="21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油罐</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701"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单罐容积 m</w:t>
                  </w:r>
                  <w:r>
                    <w:rPr>
                      <w:rFonts w:eastAsia="宋体"/>
                      <w:sz w:val="21"/>
                      <w:szCs w:val="21"/>
                      <w:vertAlign w:val="superscript"/>
                    </w:rPr>
                    <w:t>3</w:t>
                  </w:r>
                </w:p>
              </w:tc>
              <w:tc>
                <w:tcPr>
                  <w:tcW w:w="243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最大储量 t</w:t>
                  </w:r>
                </w:p>
              </w:tc>
              <w:tc>
                <w:tcPr>
                  <w:tcW w:w="219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泄漏量/占比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汽油储罐</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1701"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30</w:t>
                  </w:r>
                </w:p>
              </w:tc>
              <w:tc>
                <w:tcPr>
                  <w:tcW w:w="243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57.38</w:t>
                  </w:r>
                  <w:r>
                    <w:rPr>
                      <w:rFonts w:eastAsia="宋体"/>
                      <w:sz w:val="21"/>
                      <w:szCs w:val="21"/>
                    </w:rPr>
                    <w:t>（充装系数取0.</w:t>
                  </w:r>
                  <w:r>
                    <w:rPr>
                      <w:rFonts w:hint="eastAsia" w:eastAsia="宋体"/>
                      <w:sz w:val="21"/>
                      <w:szCs w:val="21"/>
                    </w:rPr>
                    <w:t>85</w:t>
                  </w:r>
                  <w:r>
                    <w:rPr>
                      <w:rFonts w:eastAsia="宋体"/>
                      <w:sz w:val="21"/>
                      <w:szCs w:val="21"/>
                    </w:rPr>
                    <w:t>）</w:t>
                  </w:r>
                </w:p>
              </w:tc>
              <w:tc>
                <w:tcPr>
                  <w:tcW w:w="219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5.738</w:t>
                  </w:r>
                  <w:r>
                    <w:rPr>
                      <w:rFonts w:eastAsia="宋体"/>
                      <w:sz w:val="21"/>
                      <w:szCs w:val="21"/>
                    </w:rPr>
                    <w:t>kg/d，0.01%</w:t>
                  </w:r>
                </w:p>
              </w:tc>
            </w:tr>
          </w:tbl>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 2 \* GB3 \* MERGEFORMAT </w:instrText>
            </w:r>
            <w:r>
              <w:rPr>
                <w:rFonts w:eastAsia="宋体" w:cs="宋体"/>
                <w:kern w:val="0"/>
                <w:sz w:val="24"/>
                <w:szCs w:val="24"/>
              </w:rPr>
              <w:fldChar w:fldCharType="separate"/>
            </w:r>
            <w:r>
              <w:rPr>
                <w:rFonts w:eastAsia="宋体" w:cs="宋体"/>
                <w:kern w:val="0"/>
                <w:sz w:val="24"/>
                <w:szCs w:val="24"/>
              </w:rPr>
              <w:t>②</w:t>
            </w:r>
            <w:r>
              <w:rPr>
                <w:rFonts w:eastAsia="宋体" w:cs="宋体"/>
                <w:kern w:val="0"/>
                <w:sz w:val="24"/>
                <w:szCs w:val="24"/>
              </w:rPr>
              <w:fldChar w:fldCharType="end"/>
            </w:r>
            <w:r>
              <w:rPr>
                <w:rFonts w:eastAsia="宋体" w:cs="宋体"/>
                <w:kern w:val="0"/>
                <w:sz w:val="24"/>
                <w:szCs w:val="24"/>
              </w:rPr>
              <w:t>地下水污染途径分析</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假设</w:t>
            </w:r>
            <w:r>
              <w:rPr>
                <w:rFonts w:eastAsia="宋体" w:cs="宋体"/>
                <w:kern w:val="0"/>
                <w:sz w:val="24"/>
                <w:szCs w:val="24"/>
              </w:rPr>
              <w:t>油品泄漏后进入地下，首先在包气带中垂直向下迁移，并进入到含水层中。污染物进入地下水后，以对流作用和弥散作用为主。另外，污染物在含水层中的迁移行为还包括吸附解析、挥发和生物降解。根据项目污染物的理化特征，基于保守性考虑，本次地下水污染模拟过程中未考虑污染物在含水层中的挥发、吸附解析和生物化学反应。</w:t>
            </w:r>
            <w:r>
              <w:rPr>
                <w:rFonts w:hint="eastAsia" w:eastAsia="宋体" w:cs="宋体"/>
                <w:kern w:val="0"/>
                <w:sz w:val="24"/>
                <w:szCs w:val="24"/>
              </w:rPr>
              <w:t>这种相对保守的预测情景可以为项目防控体系提供更为可靠的依据，符合工程设计的思想。</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 3 \* GB3 \* MERGEFORMAT </w:instrText>
            </w:r>
            <w:r>
              <w:rPr>
                <w:rFonts w:eastAsia="宋体" w:cs="宋体"/>
                <w:kern w:val="0"/>
                <w:sz w:val="24"/>
                <w:szCs w:val="24"/>
              </w:rPr>
              <w:fldChar w:fldCharType="separate"/>
            </w:r>
            <w:r>
              <w:rPr>
                <w:rFonts w:eastAsia="宋体" w:cs="宋体"/>
                <w:kern w:val="0"/>
                <w:sz w:val="24"/>
                <w:szCs w:val="24"/>
              </w:rPr>
              <w:t>③</w:t>
            </w:r>
            <w:r>
              <w:rPr>
                <w:rFonts w:eastAsia="宋体" w:cs="宋体"/>
                <w:kern w:val="0"/>
                <w:sz w:val="24"/>
                <w:szCs w:val="24"/>
              </w:rPr>
              <w:fldChar w:fldCharType="end"/>
            </w:r>
            <w:r>
              <w:rPr>
                <w:rFonts w:eastAsia="宋体" w:cs="宋体"/>
                <w:kern w:val="0"/>
                <w:sz w:val="24"/>
                <w:szCs w:val="24"/>
              </w:rPr>
              <w:t>溶质运移解析模型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根据《环境影响评价技术导则 地下水环境》（HJ610-2016），地下水环境影响评价三级评价预测方法可以选用解析法。根据本项目地下水的污染特性，选用一维稳定流动一维水动力弥散问题的一维无限长多孔介质柱体，示踪剂瞬时注入模型。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源预测模型公式如下：</w:t>
            </w:r>
          </w:p>
          <w:p>
            <w:pPr>
              <w:pStyle w:val="2"/>
              <w:ind w:firstLine="280"/>
              <w:rPr>
                <w:color w:val="000000"/>
                <w:sz w:val="24"/>
                <w:szCs w:val="24"/>
              </w:rPr>
            </w:pPr>
            <w:r>
              <w:rPr>
                <w:color w:val="000000"/>
              </w:rPr>
              <w:drawing>
                <wp:inline distT="0" distB="0" distL="0" distR="0">
                  <wp:extent cx="2266950" cy="685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extLst>
                              <a:ext uri="{28A0092B-C50C-407E-A947-70E740481C1C}">
                                <a14:useLocalDpi xmlns:a14="http://schemas.microsoft.com/office/drawing/2010/main" val="0"/>
                              </a:ext>
                            </a:extLst>
                          </a:blip>
                          <a:srcRect b="6461"/>
                          <a:stretch>
                            <a:fillRect/>
                          </a:stretch>
                        </pic:blipFill>
                        <pic:spPr>
                          <a:xfrm>
                            <a:off x="0" y="0"/>
                            <a:ext cx="2266950" cy="685800"/>
                          </a:xfrm>
                          <a:prstGeom prst="rect">
                            <a:avLst/>
                          </a:prstGeom>
                          <a:noFill/>
                          <a:ln>
                            <a:noFill/>
                          </a:ln>
                        </pic:spPr>
                      </pic:pic>
                    </a:graphicData>
                  </a:graphic>
                </wp:inline>
              </w:drawing>
            </w:r>
          </w:p>
          <w:p>
            <w:pPr>
              <w:adjustRightInd w:val="0"/>
              <w:snapToGrid w:val="0"/>
              <w:ind w:firstLine="420" w:firstLineChars="200"/>
              <w:rPr>
                <w:rFonts w:eastAsia="宋体"/>
                <w:sz w:val="21"/>
                <w:szCs w:val="24"/>
              </w:rPr>
            </w:pPr>
            <w:r>
              <w:rPr>
                <w:rFonts w:hint="eastAsia" w:eastAsia="宋体"/>
                <w:sz w:val="21"/>
                <w:szCs w:val="24"/>
              </w:rPr>
              <w:t>式中：x—距注入点的距离，m；</w:t>
            </w:r>
          </w:p>
          <w:p>
            <w:pPr>
              <w:adjustRightInd w:val="0"/>
              <w:snapToGrid w:val="0"/>
              <w:ind w:firstLine="420" w:firstLineChars="200"/>
              <w:rPr>
                <w:rFonts w:eastAsia="宋体"/>
                <w:sz w:val="21"/>
                <w:szCs w:val="24"/>
              </w:rPr>
            </w:pPr>
            <w:r>
              <w:rPr>
                <w:rFonts w:hint="eastAsia" w:eastAsia="宋体"/>
                <w:sz w:val="21"/>
                <w:szCs w:val="24"/>
              </w:rPr>
              <w:t>t—时间，d；</w:t>
            </w:r>
          </w:p>
          <w:p>
            <w:pPr>
              <w:adjustRightInd w:val="0"/>
              <w:snapToGrid w:val="0"/>
              <w:ind w:firstLine="420" w:firstLineChars="200"/>
              <w:rPr>
                <w:rFonts w:eastAsia="宋体"/>
                <w:sz w:val="21"/>
                <w:szCs w:val="24"/>
              </w:rPr>
            </w:pPr>
            <w:r>
              <w:rPr>
                <w:rFonts w:hint="eastAsia" w:eastAsia="宋体"/>
                <w:sz w:val="21"/>
                <w:szCs w:val="24"/>
              </w:rPr>
              <w:t>C(x,t)—t 时刻点x处的污染物浓度，g/L；</w:t>
            </w:r>
          </w:p>
          <w:p>
            <w:pPr>
              <w:adjustRightInd w:val="0"/>
              <w:snapToGrid w:val="0"/>
              <w:ind w:firstLine="420" w:firstLineChars="200"/>
              <w:rPr>
                <w:rFonts w:eastAsia="宋体"/>
                <w:sz w:val="21"/>
                <w:szCs w:val="24"/>
              </w:rPr>
            </w:pPr>
            <w:r>
              <w:rPr>
                <w:rFonts w:hint="eastAsia" w:eastAsia="宋体"/>
                <w:sz w:val="21"/>
                <w:szCs w:val="24"/>
              </w:rPr>
              <w:t>m—注入的示踪剂质量，kg；</w:t>
            </w:r>
          </w:p>
          <w:p>
            <w:pPr>
              <w:adjustRightInd w:val="0"/>
              <w:snapToGrid w:val="0"/>
              <w:ind w:firstLine="420" w:firstLineChars="200"/>
              <w:rPr>
                <w:rFonts w:eastAsia="宋体"/>
                <w:sz w:val="21"/>
                <w:szCs w:val="24"/>
              </w:rPr>
            </w:pPr>
            <w:r>
              <w:rPr>
                <w:rFonts w:hint="eastAsia" w:eastAsia="宋体"/>
                <w:sz w:val="21"/>
                <w:szCs w:val="24"/>
              </w:rPr>
              <w:t>W—横截面面积，m</w:t>
            </w:r>
            <w:r>
              <w:rPr>
                <w:rFonts w:hint="eastAsia" w:eastAsia="宋体"/>
                <w:sz w:val="21"/>
                <w:szCs w:val="24"/>
                <w:vertAlign w:val="superscript"/>
              </w:rPr>
              <w:t>2</w:t>
            </w:r>
            <w:r>
              <w:rPr>
                <w:rFonts w:hint="eastAsia" w:eastAsia="宋体"/>
                <w:sz w:val="21"/>
                <w:szCs w:val="24"/>
              </w:rPr>
              <w:t>。以汽油储罐区占地面积计约48m</w:t>
            </w:r>
            <w:r>
              <w:rPr>
                <w:rFonts w:hint="eastAsia" w:eastAsia="宋体"/>
                <w:sz w:val="21"/>
                <w:szCs w:val="24"/>
                <w:vertAlign w:val="superscript"/>
              </w:rPr>
              <w:t>2</w:t>
            </w:r>
            <w:r>
              <w:rPr>
                <w:rFonts w:hint="eastAsia" w:eastAsia="宋体"/>
                <w:sz w:val="21"/>
                <w:szCs w:val="24"/>
              </w:rPr>
              <w:t>。</w:t>
            </w:r>
          </w:p>
          <w:p>
            <w:pPr>
              <w:adjustRightInd w:val="0"/>
              <w:snapToGrid w:val="0"/>
              <w:ind w:firstLine="420" w:firstLineChars="200"/>
              <w:rPr>
                <w:rFonts w:eastAsia="宋体"/>
                <w:sz w:val="21"/>
                <w:szCs w:val="24"/>
              </w:rPr>
            </w:pPr>
            <w:r>
              <w:rPr>
                <w:rFonts w:hint="eastAsia" w:eastAsia="宋体"/>
                <w:sz w:val="21"/>
                <w:szCs w:val="24"/>
              </w:rPr>
              <w:t>u—水流速度，m/d；</w:t>
            </w:r>
          </w:p>
          <w:p>
            <w:pPr>
              <w:adjustRightInd w:val="0"/>
              <w:snapToGrid w:val="0"/>
              <w:ind w:firstLine="420" w:firstLineChars="200"/>
              <w:rPr>
                <w:rFonts w:eastAsia="宋体"/>
                <w:sz w:val="21"/>
                <w:szCs w:val="24"/>
              </w:rPr>
            </w:pPr>
            <w:r>
              <w:rPr>
                <w:rFonts w:hint="eastAsia" w:eastAsia="宋体"/>
                <w:sz w:val="21"/>
                <w:szCs w:val="24"/>
              </w:rPr>
              <w:t>n—有效孔隙度，无量纲；</w:t>
            </w:r>
          </w:p>
          <w:p>
            <w:pPr>
              <w:adjustRightInd w:val="0"/>
              <w:snapToGrid w:val="0"/>
              <w:ind w:firstLine="420" w:firstLineChars="200"/>
              <w:rPr>
                <w:rFonts w:eastAsia="宋体"/>
                <w:sz w:val="21"/>
                <w:szCs w:val="24"/>
              </w:rPr>
            </w:pPr>
            <w:r>
              <w:rPr>
                <w:rFonts w:hint="eastAsia" w:eastAsia="宋体"/>
                <w:sz w:val="21"/>
                <w:szCs w:val="24"/>
              </w:rPr>
              <w:t>DL—纵向弥散系数，m</w:t>
            </w:r>
            <w:r>
              <w:rPr>
                <w:rFonts w:hint="eastAsia" w:eastAsia="宋体"/>
                <w:sz w:val="21"/>
                <w:szCs w:val="24"/>
                <w:vertAlign w:val="superscript"/>
              </w:rPr>
              <w:t>2</w:t>
            </w:r>
            <w:r>
              <w:rPr>
                <w:rFonts w:hint="eastAsia" w:eastAsia="宋体"/>
                <w:sz w:val="21"/>
                <w:szCs w:val="24"/>
              </w:rPr>
              <w:t>/d；</w:t>
            </w:r>
          </w:p>
          <w:p>
            <w:pPr>
              <w:adjustRightInd w:val="0"/>
              <w:snapToGrid w:val="0"/>
              <w:ind w:firstLine="420" w:firstLineChars="200"/>
              <w:rPr>
                <w:rFonts w:eastAsia="宋体"/>
                <w:sz w:val="21"/>
                <w:szCs w:val="24"/>
              </w:rPr>
            </w:pPr>
            <w:r>
              <w:rPr>
                <w:rFonts w:hint="eastAsia" w:eastAsia="宋体"/>
                <w:sz w:val="21"/>
                <w:szCs w:val="24"/>
              </w:rPr>
              <w:t>π—圆周率。</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预测参数如下：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注入的示踪剂质量m：</w:t>
            </w:r>
            <w:r>
              <w:rPr>
                <w:rFonts w:hint="eastAsia" w:eastAsia="宋体" w:cs="宋体"/>
                <w:kern w:val="0"/>
                <w:sz w:val="24"/>
                <w:szCs w:val="24"/>
              </w:rPr>
              <w:t>非正常泄漏时间跟企业管理程度有关，项目设有漏油在线监测系统，当发生泄漏时，很快就会发现，一般不会出现连续一天以上的事故漏油，故本项目非正常下渗时间</w:t>
            </w:r>
            <w:r>
              <w:rPr>
                <w:rFonts w:eastAsia="宋体" w:cs="宋体"/>
                <w:kern w:val="0"/>
                <w:sz w:val="24"/>
                <w:szCs w:val="24"/>
              </w:rPr>
              <w:t>按1天计，注入示踪剂（石油类）质量为</w:t>
            </w:r>
            <w:r>
              <w:rPr>
                <w:rFonts w:hint="eastAsia" w:eastAsia="宋体" w:cs="宋体"/>
                <w:kern w:val="0"/>
                <w:sz w:val="24"/>
                <w:szCs w:val="24"/>
              </w:rPr>
              <w:t>5.738</w:t>
            </w:r>
            <w:r>
              <w:rPr>
                <w:rFonts w:eastAsia="宋体" w:cs="宋体"/>
                <w:kern w:val="0"/>
                <w:sz w:val="24"/>
                <w:szCs w:val="24"/>
              </w:rPr>
              <w:t>kg。</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查阅想关资料，项目区域水平方向渗透系数Kxx=Kyy=2.10~2.32m/d，取平均值2.2m/d，垂向和水平方向渗透系数比值取0.01，水力坡度1.5‰，有效孔隙度按0.21计。</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根据室内和野外弥散试验资料，结合弥散度的尺度效应，第一含水层纵向弥散度取50m，横向弥散度取5m。</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地下水流速和弥散系数的确定按下列方法取得：</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u</w:t>
            </w:r>
            <w:r>
              <w:rPr>
                <w:rFonts w:eastAsia="宋体" w:cs="宋体"/>
                <w:kern w:val="0"/>
                <w:sz w:val="24"/>
                <w:szCs w:val="24"/>
              </w:rPr>
              <w:t>＝K×I／n；D</w:t>
            </w:r>
            <w:r>
              <w:rPr>
                <w:rFonts w:eastAsia="宋体" w:cs="宋体"/>
                <w:kern w:val="0"/>
                <w:sz w:val="24"/>
                <w:szCs w:val="24"/>
                <w:vertAlign w:val="subscript"/>
              </w:rPr>
              <w:t>L</w:t>
            </w:r>
            <w:r>
              <w:rPr>
                <w:rFonts w:eastAsia="宋体" w:cs="宋体"/>
                <w:kern w:val="0"/>
                <w:sz w:val="24"/>
                <w:szCs w:val="24"/>
              </w:rPr>
              <w:t>＝a</w:t>
            </w:r>
            <w:r>
              <w:rPr>
                <w:rFonts w:eastAsia="宋体" w:cs="宋体"/>
                <w:kern w:val="0"/>
                <w:sz w:val="24"/>
                <w:szCs w:val="24"/>
                <w:vertAlign w:val="subscript"/>
              </w:rPr>
              <w:t>L</w:t>
            </w:r>
            <w:r>
              <w:rPr>
                <w:rFonts w:eastAsia="宋体" w:cs="宋体"/>
                <w:kern w:val="0"/>
                <w:sz w:val="24"/>
                <w:szCs w:val="24"/>
              </w:rPr>
              <w:t>×U</w:t>
            </w:r>
            <w:r>
              <w:rPr>
                <w:rFonts w:eastAsia="宋体" w:cs="宋体"/>
                <w:kern w:val="0"/>
                <w:sz w:val="24"/>
                <w:szCs w:val="24"/>
                <w:vertAlign w:val="superscript"/>
              </w:rPr>
              <w:t>m</w:t>
            </w:r>
            <w:r>
              <w:rPr>
                <w:rFonts w:eastAsia="宋体" w:cs="宋体"/>
                <w:kern w:val="0"/>
                <w:sz w:val="24"/>
                <w:szCs w:val="24"/>
              </w:rPr>
              <w:t>；D</w:t>
            </w:r>
            <w:r>
              <w:rPr>
                <w:rFonts w:eastAsia="宋体" w:cs="宋体"/>
                <w:kern w:val="0"/>
                <w:sz w:val="24"/>
                <w:szCs w:val="24"/>
                <w:vertAlign w:val="subscript"/>
              </w:rPr>
              <w:t>T</w:t>
            </w:r>
            <w:r>
              <w:rPr>
                <w:rFonts w:eastAsia="宋体" w:cs="宋体"/>
                <w:kern w:val="0"/>
                <w:sz w:val="24"/>
                <w:szCs w:val="24"/>
              </w:rPr>
              <w:t>＝a</w:t>
            </w:r>
            <w:r>
              <w:rPr>
                <w:rFonts w:eastAsia="宋体" w:cs="宋体"/>
                <w:kern w:val="0"/>
                <w:sz w:val="24"/>
                <w:szCs w:val="24"/>
                <w:vertAlign w:val="subscript"/>
              </w:rPr>
              <w:t>T</w:t>
            </w:r>
            <w:r>
              <w:rPr>
                <w:rFonts w:eastAsia="宋体" w:cs="宋体"/>
                <w:kern w:val="0"/>
                <w:sz w:val="24"/>
                <w:szCs w:val="24"/>
              </w:rPr>
              <w:t>×U</w:t>
            </w:r>
            <w:r>
              <w:rPr>
                <w:rFonts w:eastAsia="宋体" w:cs="宋体"/>
                <w:kern w:val="0"/>
                <w:sz w:val="24"/>
                <w:szCs w:val="24"/>
                <w:vertAlign w:val="superscript"/>
              </w:rPr>
              <w:t>m</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其中：</w:t>
            </w:r>
            <w:r>
              <w:rPr>
                <w:rFonts w:hint="eastAsia" w:eastAsia="宋体" w:cs="宋体"/>
                <w:kern w:val="0"/>
                <w:sz w:val="24"/>
                <w:szCs w:val="24"/>
              </w:rPr>
              <w:t>u</w:t>
            </w:r>
            <w:r>
              <w:rPr>
                <w:rFonts w:eastAsia="宋体" w:cs="宋体"/>
                <w:kern w:val="0"/>
                <w:sz w:val="24"/>
                <w:szCs w:val="24"/>
              </w:rPr>
              <w:t>—地下水流速，m/d；K—渗透系数，m/d；I—水力坡度；n—孔隙度；m—指数</w:t>
            </w:r>
            <w:r>
              <w:rPr>
                <w:rFonts w:hint="eastAsia" w:eastAsia="宋体" w:cs="宋体"/>
                <w:kern w:val="0"/>
                <w:sz w:val="24"/>
                <w:szCs w:val="24"/>
              </w:rPr>
              <w:t>（纵向取1.07、横向取1.1）</w:t>
            </w:r>
            <w:r>
              <w:rPr>
                <w:rFonts w:eastAsia="宋体" w:cs="宋体"/>
                <w:kern w:val="0"/>
                <w:sz w:val="24"/>
                <w:szCs w:val="24"/>
              </w:rPr>
              <w:t>；D</w:t>
            </w:r>
            <w:r>
              <w:rPr>
                <w:rFonts w:eastAsia="宋体" w:cs="宋体"/>
                <w:kern w:val="0"/>
                <w:sz w:val="24"/>
                <w:szCs w:val="24"/>
                <w:vertAlign w:val="subscript"/>
              </w:rPr>
              <w:t>L</w:t>
            </w:r>
            <w:r>
              <w:rPr>
                <w:rFonts w:eastAsia="宋体" w:cs="宋体"/>
                <w:kern w:val="0"/>
                <w:sz w:val="24"/>
                <w:szCs w:val="24"/>
              </w:rPr>
              <w:t>—纵向弥散系数，m</w:t>
            </w:r>
            <w:r>
              <w:rPr>
                <w:rFonts w:eastAsia="宋体" w:cs="宋体"/>
                <w:kern w:val="0"/>
                <w:sz w:val="24"/>
                <w:szCs w:val="24"/>
                <w:vertAlign w:val="superscript"/>
              </w:rPr>
              <w:t>2</w:t>
            </w:r>
            <w:r>
              <w:rPr>
                <w:rFonts w:eastAsia="宋体" w:cs="宋体"/>
                <w:kern w:val="0"/>
                <w:sz w:val="24"/>
                <w:szCs w:val="24"/>
              </w:rPr>
              <w:t>/d；D</w:t>
            </w:r>
            <w:r>
              <w:rPr>
                <w:rFonts w:eastAsia="宋体" w:cs="宋体"/>
                <w:kern w:val="0"/>
                <w:sz w:val="24"/>
                <w:szCs w:val="24"/>
                <w:vertAlign w:val="subscript"/>
              </w:rPr>
              <w:t>T</w:t>
            </w:r>
            <w:r>
              <w:rPr>
                <w:rFonts w:eastAsia="宋体" w:cs="宋体"/>
                <w:kern w:val="0"/>
                <w:sz w:val="24"/>
                <w:szCs w:val="24"/>
              </w:rPr>
              <w:t>—横向弥散系数，m</w:t>
            </w:r>
            <w:r>
              <w:rPr>
                <w:rFonts w:eastAsia="宋体" w:cs="宋体"/>
                <w:kern w:val="0"/>
                <w:sz w:val="24"/>
                <w:szCs w:val="24"/>
                <w:vertAlign w:val="superscript"/>
              </w:rPr>
              <w:t>2</w:t>
            </w:r>
            <w:r>
              <w:rPr>
                <w:rFonts w:eastAsia="宋体" w:cs="宋体"/>
                <w:kern w:val="0"/>
                <w:sz w:val="24"/>
                <w:szCs w:val="24"/>
              </w:rPr>
              <w:t>/d；a</w:t>
            </w:r>
            <w:r>
              <w:rPr>
                <w:rFonts w:eastAsia="宋体" w:cs="宋体"/>
                <w:kern w:val="0"/>
                <w:sz w:val="24"/>
                <w:szCs w:val="24"/>
                <w:vertAlign w:val="subscript"/>
              </w:rPr>
              <w:t>L</w:t>
            </w:r>
            <w:r>
              <w:rPr>
                <w:rFonts w:eastAsia="宋体" w:cs="宋体"/>
                <w:kern w:val="0"/>
                <w:sz w:val="24"/>
                <w:szCs w:val="24"/>
              </w:rPr>
              <w:t>—纵向弥散度；a</w:t>
            </w:r>
            <w:r>
              <w:rPr>
                <w:rFonts w:eastAsia="宋体" w:cs="宋体"/>
                <w:kern w:val="0"/>
                <w:sz w:val="24"/>
                <w:szCs w:val="24"/>
                <w:vertAlign w:val="subscript"/>
              </w:rPr>
              <w:t>T</w:t>
            </w:r>
            <w:r>
              <w:rPr>
                <w:rFonts w:eastAsia="宋体" w:cs="宋体"/>
                <w:kern w:val="0"/>
                <w:sz w:val="24"/>
                <w:szCs w:val="24"/>
              </w:rPr>
              <w:t>—横向弥散度。</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经计算，</w:t>
            </w:r>
            <w:r>
              <w:rPr>
                <w:rFonts w:eastAsia="宋体" w:cs="宋体"/>
                <w:kern w:val="0"/>
                <w:sz w:val="24"/>
                <w:szCs w:val="24"/>
              </w:rPr>
              <w:t>地下水流速</w:t>
            </w:r>
            <w:r>
              <w:rPr>
                <w:rFonts w:hint="eastAsia" w:eastAsia="宋体" w:cs="宋体"/>
                <w:kern w:val="0"/>
                <w:sz w:val="24"/>
                <w:szCs w:val="24"/>
              </w:rPr>
              <w:t>u=0.0157</w:t>
            </w:r>
            <w:r>
              <w:rPr>
                <w:rFonts w:eastAsia="宋体" w:cs="宋体"/>
                <w:kern w:val="0"/>
                <w:sz w:val="24"/>
                <w:szCs w:val="24"/>
              </w:rPr>
              <w:t>m/d</w:t>
            </w:r>
            <w:r>
              <w:rPr>
                <w:rFonts w:hint="eastAsia" w:eastAsia="宋体" w:cs="宋体"/>
                <w:kern w:val="0"/>
                <w:sz w:val="24"/>
                <w:szCs w:val="24"/>
              </w:rPr>
              <w:t>，</w:t>
            </w:r>
            <w:r>
              <w:rPr>
                <w:rFonts w:eastAsia="宋体" w:cs="宋体"/>
                <w:kern w:val="0"/>
                <w:sz w:val="24"/>
                <w:szCs w:val="24"/>
              </w:rPr>
              <w:t>纵向弥散系数D</w:t>
            </w:r>
            <w:r>
              <w:rPr>
                <w:rFonts w:eastAsia="宋体" w:cs="宋体"/>
                <w:kern w:val="0"/>
                <w:sz w:val="24"/>
                <w:szCs w:val="24"/>
                <w:vertAlign w:val="subscript"/>
              </w:rPr>
              <w:t>L</w:t>
            </w:r>
            <w:r>
              <w:rPr>
                <w:rFonts w:hint="eastAsia" w:eastAsia="宋体" w:cs="宋体"/>
                <w:kern w:val="0"/>
                <w:sz w:val="24"/>
                <w:szCs w:val="24"/>
              </w:rPr>
              <w:t xml:space="preserve"> =0.587</w:t>
            </w:r>
            <w:r>
              <w:rPr>
                <w:rFonts w:eastAsia="宋体" w:cs="宋体"/>
                <w:kern w:val="0"/>
                <w:sz w:val="24"/>
                <w:szCs w:val="24"/>
              </w:rPr>
              <w:t>m</w:t>
            </w:r>
            <w:r>
              <w:rPr>
                <w:rFonts w:eastAsia="宋体" w:cs="宋体"/>
                <w:kern w:val="0"/>
                <w:sz w:val="24"/>
                <w:szCs w:val="24"/>
                <w:vertAlign w:val="superscript"/>
              </w:rPr>
              <w:t>2</w:t>
            </w:r>
            <w:r>
              <w:rPr>
                <w:rFonts w:eastAsia="宋体" w:cs="宋体"/>
                <w:kern w:val="0"/>
                <w:sz w:val="24"/>
                <w:szCs w:val="24"/>
              </w:rPr>
              <w:t>/d</w:t>
            </w:r>
            <w:r>
              <w:rPr>
                <w:rFonts w:hint="eastAsia" w:eastAsia="宋体" w:cs="宋体"/>
                <w:kern w:val="0"/>
                <w:sz w:val="24"/>
                <w:szCs w:val="24"/>
              </w:rPr>
              <w:t>；</w:t>
            </w:r>
            <w:r>
              <w:rPr>
                <w:rFonts w:eastAsia="宋体" w:cs="宋体"/>
                <w:kern w:val="0"/>
                <w:sz w:val="24"/>
                <w:szCs w:val="24"/>
              </w:rPr>
              <w:t>横向弥散系数D</w:t>
            </w:r>
            <w:r>
              <w:rPr>
                <w:rFonts w:eastAsia="宋体" w:cs="宋体"/>
                <w:kern w:val="0"/>
                <w:sz w:val="24"/>
                <w:szCs w:val="24"/>
                <w:vertAlign w:val="subscript"/>
              </w:rPr>
              <w:t>T</w:t>
            </w:r>
            <w:r>
              <w:rPr>
                <w:rFonts w:hint="eastAsia" w:eastAsia="宋体" w:cs="宋体"/>
                <w:kern w:val="0"/>
                <w:sz w:val="24"/>
                <w:szCs w:val="24"/>
              </w:rPr>
              <w:t xml:space="preserve"> =0.0518</w:t>
            </w:r>
            <w:r>
              <w:rPr>
                <w:rFonts w:eastAsia="宋体" w:cs="宋体"/>
                <w:kern w:val="0"/>
                <w:sz w:val="24"/>
                <w:szCs w:val="24"/>
              </w:rPr>
              <w:t>m</w:t>
            </w:r>
            <w:r>
              <w:rPr>
                <w:rFonts w:eastAsia="宋体" w:cs="宋体"/>
                <w:kern w:val="0"/>
                <w:sz w:val="24"/>
                <w:szCs w:val="24"/>
                <w:vertAlign w:val="superscript"/>
              </w:rPr>
              <w:t>2</w:t>
            </w:r>
            <w:r>
              <w:rPr>
                <w:rFonts w:eastAsia="宋体" w:cs="宋体"/>
                <w:kern w:val="0"/>
                <w:sz w:val="24"/>
                <w:szCs w:val="24"/>
              </w:rPr>
              <w:t>/d</w:t>
            </w:r>
            <w:r>
              <w:rPr>
                <w:rFonts w:hint="eastAsia" w:eastAsia="宋体" w:cs="宋体"/>
                <w:kern w:val="0"/>
                <w:sz w:val="24"/>
                <w:szCs w:val="24"/>
              </w:rPr>
              <w:t>。</w:t>
            </w:r>
          </w:p>
          <w:p>
            <w:pPr>
              <w:adjustRightInd w:val="0"/>
              <w:snapToGrid w:val="0"/>
              <w:ind w:firstLine="480" w:firstLineChars="200"/>
              <w:rPr>
                <w:rFonts w:eastAsia="宋体"/>
                <w:sz w:val="24"/>
                <w:szCs w:val="24"/>
              </w:rPr>
            </w:pPr>
            <w:r>
              <w:rPr>
                <w:rFonts w:hint="eastAsia" w:eastAsia="宋体"/>
                <w:sz w:val="24"/>
                <w:szCs w:val="24"/>
              </w:rPr>
              <w:t>（四）地下水污染预测结果和分析</w:t>
            </w:r>
          </w:p>
          <w:p>
            <w:pPr>
              <w:adjustRightInd w:val="0"/>
              <w:snapToGrid w:val="0"/>
              <w:ind w:firstLine="480" w:firstLineChars="200"/>
              <w:rPr>
                <w:rFonts w:eastAsia="宋体"/>
                <w:sz w:val="24"/>
                <w:szCs w:val="24"/>
              </w:rPr>
            </w:pPr>
            <w:r>
              <w:rPr>
                <w:rFonts w:hint="eastAsia" w:eastAsia="宋体"/>
                <w:sz w:val="24"/>
                <w:szCs w:val="24"/>
              </w:rPr>
              <w:t>（1）预测结果</w:t>
            </w:r>
          </w:p>
          <w:p>
            <w:pPr>
              <w:adjustRightInd w:val="0"/>
              <w:snapToGrid w:val="0"/>
              <w:ind w:firstLine="480" w:firstLineChars="200"/>
              <w:rPr>
                <w:rFonts w:eastAsia="宋体"/>
                <w:sz w:val="24"/>
                <w:szCs w:val="24"/>
              </w:rPr>
            </w:pPr>
            <w:r>
              <w:rPr>
                <w:rFonts w:hint="eastAsia" w:eastAsia="宋体"/>
                <w:sz w:val="24"/>
                <w:szCs w:val="24"/>
              </w:rPr>
              <w:t>污染物石油类100d、1000d的污染物浓度分布情况见表7-18。</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rPr>
              <w:t>7-18</w:t>
            </w:r>
            <w:r>
              <w:rPr>
                <w:b/>
                <w:bCs/>
                <w:snapToGrid w:val="0"/>
                <w:color w:val="000000"/>
                <w:kern w:val="0"/>
                <w:sz w:val="24"/>
                <w:szCs w:val="24"/>
              </w:rPr>
              <w:t xml:space="preserve">  地下水中污染物石油类预测结果表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13"/>
              <w:gridCol w:w="2223"/>
              <w:gridCol w:w="23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4" w:type="dxa"/>
                  <w:gridSpan w:val="2"/>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泄漏后100天</w:t>
                  </w:r>
                </w:p>
              </w:tc>
              <w:tc>
                <w:tcPr>
                  <w:tcW w:w="4666" w:type="dxa"/>
                  <w:gridSpan w:val="2"/>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泄漏后1000天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下游距离（m）</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浓度（mg/L）</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下游距离（m）</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23.50372</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6.762452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23.71892</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7.153513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w:t>
                  </w:r>
                </w:p>
              </w:tc>
              <w:tc>
                <w:tcPr>
                  <w:tcW w:w="2379"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23.73306</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7.407751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3</w:t>
                  </w:r>
                </w:p>
              </w:tc>
              <w:tc>
                <w:tcPr>
                  <w:tcW w:w="2379"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23.54581</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7.509399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4</w:t>
                  </w:r>
                </w:p>
              </w:tc>
              <w:tc>
                <w:tcPr>
                  <w:tcW w:w="2379"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23.16188</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7.452052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22.59098</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7.23933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17.54897</w:t>
                  </w:r>
                </w:p>
              </w:tc>
              <w:tc>
                <w:tcPr>
                  <w:tcW w:w="2287"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30</w:t>
                  </w:r>
                </w:p>
              </w:tc>
              <w:tc>
                <w:tcPr>
                  <w:tcW w:w="2379"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6.884504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w:t>
                  </w:r>
                </w:p>
              </w:tc>
              <w:tc>
                <w:tcPr>
                  <w:tcW w:w="2379" w:type="dxa"/>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11.01758</w:t>
                  </w:r>
                </w:p>
              </w:tc>
              <w:tc>
                <w:tcPr>
                  <w:tcW w:w="2287"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40</w:t>
                  </w:r>
                </w:p>
              </w:tc>
              <w:tc>
                <w:tcPr>
                  <w:tcW w:w="2379"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5.840859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5.590357</w:t>
                  </w:r>
                </w:p>
              </w:tc>
              <w:tc>
                <w:tcPr>
                  <w:tcW w:w="2287"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50</w:t>
                  </w:r>
                </w:p>
              </w:tc>
              <w:tc>
                <w:tcPr>
                  <w:tcW w:w="2379"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4.550803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2.292507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3.256167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0.759802</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2.1396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0.20352</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80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1.291117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0.044059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90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0.715494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0.007709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0.364128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0.00109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110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0.17018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0.000125</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120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0.073042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1.15E-05</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130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0.02879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8.59E-07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140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0.010421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5.18E-08</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0.003464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2.53E-09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160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0.001058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80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9.96E-11</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170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0.000296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90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8.16E-14</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180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7.63E-05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2.85E-17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200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3.92E-06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0" w:type="dxa"/>
                  <w:gridSpan w:val="4"/>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下游最大浓度及出现位置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23.73306</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7.509399</w:t>
                  </w:r>
                </w:p>
              </w:tc>
            </w:tr>
          </w:tbl>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污染物扩散达标距离见表</w:t>
            </w:r>
            <w:r>
              <w:rPr>
                <w:rFonts w:hint="eastAsia" w:eastAsia="宋体" w:cs="宋体"/>
                <w:kern w:val="0"/>
                <w:sz w:val="24"/>
                <w:szCs w:val="24"/>
              </w:rPr>
              <w:t>7-19</w:t>
            </w:r>
            <w:r>
              <w:rPr>
                <w:rFonts w:eastAsia="宋体" w:cs="宋体"/>
                <w:kern w:val="0"/>
                <w:sz w:val="24"/>
                <w:szCs w:val="24"/>
              </w:rPr>
              <w:t>。</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rPr>
              <w:t>7-19</w:t>
            </w:r>
            <w:r>
              <w:rPr>
                <w:b/>
                <w:bCs/>
                <w:snapToGrid w:val="0"/>
                <w:color w:val="000000"/>
                <w:kern w:val="0"/>
                <w:sz w:val="24"/>
                <w:szCs w:val="24"/>
              </w:rPr>
              <w:t>污染物扩散达标距离</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13"/>
              <w:gridCol w:w="1786"/>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污染物</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标准值（mg/L）</w:t>
                  </w:r>
                </w:p>
              </w:tc>
              <w:tc>
                <w:tcPr>
                  <w:tcW w:w="183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时间（d）</w:t>
                  </w:r>
                </w:p>
              </w:tc>
              <w:tc>
                <w:tcPr>
                  <w:tcW w:w="283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污染物扩散达标距离（m）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285" w:type="dxa"/>
                  <w:vMerge w:val="restart"/>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石油类</w:t>
                  </w:r>
                </w:p>
              </w:tc>
              <w:tc>
                <w:tcPr>
                  <w:tcW w:w="2379" w:type="dxa"/>
                  <w:vMerge w:val="restart"/>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0.05</w:t>
                  </w:r>
                </w:p>
              </w:tc>
              <w:tc>
                <w:tcPr>
                  <w:tcW w:w="183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100</w:t>
                  </w:r>
                </w:p>
              </w:tc>
              <w:tc>
                <w:tcPr>
                  <w:tcW w:w="283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Merge w:val="continue"/>
                  <w:vAlign w:val="center"/>
                </w:tcPr>
                <w:p>
                  <w:pPr>
                    <w:widowControl w:val="0"/>
                    <w:tabs>
                      <w:tab w:val="center" w:pos="4153"/>
                      <w:tab w:val="right" w:pos="8306"/>
                    </w:tabs>
                    <w:snapToGrid w:val="0"/>
                    <w:spacing w:line="240" w:lineRule="auto"/>
                    <w:jc w:val="center"/>
                    <w:textAlignment w:val="center"/>
                    <w:rPr>
                      <w:rFonts w:eastAsia="宋体"/>
                      <w:sz w:val="21"/>
                      <w:szCs w:val="21"/>
                    </w:rPr>
                  </w:pPr>
                </w:p>
              </w:tc>
              <w:tc>
                <w:tcPr>
                  <w:tcW w:w="2379" w:type="dxa"/>
                  <w:vMerge w:val="continue"/>
                  <w:vAlign w:val="center"/>
                </w:tcPr>
                <w:p>
                  <w:pPr>
                    <w:widowControl w:val="0"/>
                    <w:tabs>
                      <w:tab w:val="center" w:pos="4153"/>
                      <w:tab w:val="right" w:pos="8306"/>
                    </w:tabs>
                    <w:snapToGrid w:val="0"/>
                    <w:spacing w:line="240" w:lineRule="auto"/>
                    <w:jc w:val="center"/>
                    <w:textAlignment w:val="center"/>
                    <w:rPr>
                      <w:rFonts w:eastAsia="宋体"/>
                      <w:sz w:val="21"/>
                      <w:szCs w:val="21"/>
                    </w:rPr>
                  </w:pPr>
                </w:p>
              </w:tc>
              <w:tc>
                <w:tcPr>
                  <w:tcW w:w="183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1000</w:t>
                  </w:r>
                </w:p>
              </w:tc>
              <w:tc>
                <w:tcPr>
                  <w:tcW w:w="283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125</w:t>
                  </w:r>
                </w:p>
              </w:tc>
            </w:tr>
          </w:tbl>
          <w:p>
            <w:pPr>
              <w:pStyle w:val="26"/>
              <w:snapToGrid w:val="0"/>
              <w:spacing w:after="0" w:line="240" w:lineRule="auto"/>
              <w:ind w:left="560" w:firstLine="0" w:firstLineChars="0"/>
              <w:rPr>
                <w:rFonts w:eastAsia="宋体"/>
                <w:color w:val="000000"/>
                <w:kern w:val="0"/>
                <w:sz w:val="24"/>
              </w:rPr>
            </w:pPr>
            <w:r>
              <w:rPr>
                <w:rFonts w:eastAsia="宋体"/>
                <w:color w:val="000000"/>
                <w:kern w:val="0"/>
                <w:sz w:val="22"/>
              </w:rPr>
              <w:t>注：根据《环境影响评价技术导则  地下水环境》（HJ610-2016）中“10.3.2”，参照《地表水环境质量标准》（GB3838-2002）执行</w:t>
            </w:r>
            <w:r>
              <w:rPr>
                <w:rFonts w:eastAsia="宋体"/>
                <w:color w:val="000000"/>
                <w:kern w:val="0"/>
                <w:sz w:val="24"/>
              </w:rPr>
              <w:t>。</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由预测结果可知，在不考虑或采取任何防渗措施前提下，当加油过程造成泄漏渗入地下后，泄漏油品可对一定范围内地下水环境造成影响。</w:t>
            </w:r>
          </w:p>
          <w:p>
            <w:pPr>
              <w:pStyle w:val="2"/>
              <w:ind w:firstLine="240"/>
              <w:rPr>
                <w:rFonts w:eastAsia="宋体"/>
                <w:sz w:val="24"/>
                <w:szCs w:val="24"/>
              </w:rPr>
            </w:pPr>
            <w:r>
              <w:rPr>
                <w:rFonts w:hint="eastAsia" w:eastAsia="宋体"/>
                <w:sz w:val="24"/>
                <w:szCs w:val="24"/>
              </w:rPr>
              <w:t>（2）防渗要求</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根据《加油站地下水污染防治技术指南（试行）》，为防止加油站油品泄漏，污染土壤和地下水，需要采取防渗漏和防渗漏检测措施，防渗区域主要是埋地油罐区、油罐人孔操作井、卸油口井、加油机底槽、输油管线区。根据《环境影响评价技术导则 地下水环境》（HJ610-2016），项目区域土壤渗透系数约0.0</w:t>
            </w:r>
            <w:r>
              <w:rPr>
                <w:rFonts w:hint="eastAsia" w:eastAsia="宋体" w:cs="宋体"/>
                <w:kern w:val="0"/>
                <w:sz w:val="24"/>
                <w:szCs w:val="24"/>
              </w:rPr>
              <w:t>02546</w:t>
            </w:r>
            <w:r>
              <w:rPr>
                <w:rFonts w:eastAsia="宋体" w:cs="宋体"/>
                <w:kern w:val="0"/>
                <w:sz w:val="24"/>
                <w:szCs w:val="24"/>
              </w:rPr>
              <w:t>cm/s，大于1×10</w:t>
            </w:r>
            <w:r>
              <w:rPr>
                <w:rFonts w:eastAsia="宋体" w:cs="宋体"/>
                <w:kern w:val="0"/>
                <w:sz w:val="24"/>
                <w:szCs w:val="24"/>
                <w:vertAlign w:val="superscript"/>
              </w:rPr>
              <w:t>-4</w:t>
            </w:r>
            <w:r>
              <w:rPr>
                <w:rFonts w:eastAsia="宋体" w:cs="宋体"/>
                <w:kern w:val="0"/>
                <w:sz w:val="24"/>
                <w:szCs w:val="24"/>
              </w:rPr>
              <w:t>cm/s，天然包气带防污性能为</w:t>
            </w:r>
            <w:r>
              <w:rPr>
                <w:rFonts w:hint="eastAsia" w:eastAsia="宋体" w:cs="宋体"/>
                <w:kern w:val="0"/>
                <w:sz w:val="24"/>
                <w:szCs w:val="24"/>
              </w:rPr>
              <w:t>弱</w:t>
            </w:r>
            <w:r>
              <w:rPr>
                <w:rFonts w:eastAsia="宋体" w:cs="宋体"/>
                <w:kern w:val="0"/>
                <w:sz w:val="24"/>
                <w:szCs w:val="24"/>
              </w:rPr>
              <w:t>；本项目储油罐为</w:t>
            </w:r>
            <w:r>
              <w:rPr>
                <w:rFonts w:hint="eastAsia" w:eastAsia="宋体" w:cs="宋体"/>
                <w:kern w:val="0"/>
                <w:sz w:val="24"/>
                <w:szCs w:val="24"/>
              </w:rPr>
              <w:t>SF型</w:t>
            </w:r>
            <w:r>
              <w:rPr>
                <w:rFonts w:eastAsia="宋体" w:cs="宋体"/>
                <w:kern w:val="0"/>
                <w:sz w:val="24"/>
                <w:szCs w:val="24"/>
              </w:rPr>
              <w:t>双层油罐，输油管道为</w:t>
            </w:r>
            <w:r>
              <w:rPr>
                <w:rFonts w:hint="eastAsia" w:eastAsia="宋体" w:cs="宋体"/>
                <w:kern w:val="0"/>
                <w:sz w:val="24"/>
                <w:szCs w:val="24"/>
              </w:rPr>
              <w:t>无缝钢管</w:t>
            </w:r>
            <w:r>
              <w:rPr>
                <w:rFonts w:eastAsia="宋体" w:cs="宋体"/>
                <w:kern w:val="0"/>
                <w:sz w:val="24"/>
                <w:szCs w:val="24"/>
              </w:rPr>
              <w:t>，每台油罐均设置带有高液位报警功能和渗漏检测功能的液位监测系统，污染物泄漏后可及时发现和处理，控制难易程度分级为易；根据导则表7，上述防渗区防渗等级为重点防渗区，所采取防渗措施防渗性能应采用不低于</w:t>
            </w:r>
            <w:r>
              <w:rPr>
                <w:rFonts w:hint="eastAsia" w:eastAsia="宋体" w:cs="宋体"/>
                <w:kern w:val="0"/>
                <w:sz w:val="24"/>
                <w:szCs w:val="24"/>
              </w:rPr>
              <w:t>等效</w:t>
            </w:r>
            <w:r>
              <w:rPr>
                <w:rFonts w:eastAsia="宋体" w:cs="宋体"/>
                <w:kern w:val="0"/>
                <w:sz w:val="24"/>
                <w:szCs w:val="24"/>
              </w:rPr>
              <w:t>6.0m厚渗透系数</w:t>
            </w:r>
            <w:r>
              <w:rPr>
                <w:rFonts w:hint="eastAsia" w:eastAsia="宋体" w:cs="宋体"/>
                <w:kern w:val="0"/>
                <w:sz w:val="24"/>
                <w:szCs w:val="24"/>
              </w:rPr>
              <w:t>小于</w:t>
            </w:r>
            <w:r>
              <w:rPr>
                <w:rFonts w:eastAsia="宋体" w:cs="宋体"/>
                <w:kern w:val="0"/>
                <w:sz w:val="24"/>
                <w:szCs w:val="24"/>
              </w:rPr>
              <w:t>1.0×10</w:t>
            </w:r>
            <w:r>
              <w:rPr>
                <w:rFonts w:eastAsia="宋体" w:cs="宋体"/>
                <w:kern w:val="0"/>
                <w:sz w:val="24"/>
                <w:szCs w:val="24"/>
                <w:vertAlign w:val="superscript"/>
              </w:rPr>
              <w:t>-7</w:t>
            </w:r>
            <w:r>
              <w:rPr>
                <w:rFonts w:eastAsia="宋体" w:cs="宋体"/>
                <w:kern w:val="0"/>
                <w:sz w:val="24"/>
                <w:szCs w:val="24"/>
              </w:rPr>
              <w:t>cm/s的黏土层的防渗性能。</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此外加油站化粪池污染物类型属于其他类型，因此均为一般防渗区，应采取相应防渗措施，使其防渗性能不低于</w:t>
            </w:r>
            <w:r>
              <w:rPr>
                <w:rFonts w:hint="eastAsia" w:eastAsia="宋体" w:cs="宋体"/>
                <w:kern w:val="0"/>
                <w:sz w:val="24"/>
                <w:szCs w:val="24"/>
              </w:rPr>
              <w:t>等效</w:t>
            </w:r>
            <w:r>
              <w:rPr>
                <w:rFonts w:eastAsia="宋体" w:cs="宋体"/>
                <w:kern w:val="0"/>
                <w:sz w:val="24"/>
                <w:szCs w:val="24"/>
              </w:rPr>
              <w:t>1.5m厚渗透系数</w:t>
            </w:r>
            <w:r>
              <w:rPr>
                <w:rFonts w:hint="eastAsia" w:eastAsia="宋体" w:cs="宋体"/>
                <w:kern w:val="0"/>
                <w:sz w:val="24"/>
                <w:szCs w:val="24"/>
              </w:rPr>
              <w:t>小于</w:t>
            </w:r>
            <w:r>
              <w:rPr>
                <w:rFonts w:eastAsia="宋体" w:cs="宋体"/>
                <w:kern w:val="0"/>
                <w:sz w:val="24"/>
                <w:szCs w:val="24"/>
              </w:rPr>
              <w:t>1.0×10</w:t>
            </w:r>
            <w:r>
              <w:rPr>
                <w:rFonts w:eastAsia="宋体" w:cs="宋体"/>
                <w:kern w:val="0"/>
                <w:sz w:val="24"/>
                <w:szCs w:val="24"/>
                <w:vertAlign w:val="superscript"/>
              </w:rPr>
              <w:t>-7</w:t>
            </w:r>
            <w:r>
              <w:rPr>
                <w:rFonts w:eastAsia="宋体" w:cs="宋体"/>
                <w:kern w:val="0"/>
                <w:sz w:val="24"/>
                <w:szCs w:val="24"/>
              </w:rPr>
              <w:t>cm/s的黏土层的防渗性能。具体防渗要求分区见下表：</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rPr>
              <w:t>7-20</w:t>
            </w:r>
            <w:r>
              <w:rPr>
                <w:b/>
                <w:bCs/>
                <w:snapToGrid w:val="0"/>
                <w:color w:val="000000"/>
                <w:kern w:val="0"/>
                <w:sz w:val="24"/>
                <w:szCs w:val="24"/>
              </w:rPr>
              <w:t xml:space="preserve"> 项目防渗分区及防渗系数要求</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94"/>
              <w:gridCol w:w="2492"/>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序号</w:t>
                  </w:r>
                </w:p>
              </w:tc>
              <w:tc>
                <w:tcPr>
                  <w:tcW w:w="269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区域</w:t>
                  </w:r>
                </w:p>
              </w:tc>
              <w:tc>
                <w:tcPr>
                  <w:tcW w:w="249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防渗类别</w:t>
                  </w:r>
                </w:p>
              </w:tc>
              <w:tc>
                <w:tcPr>
                  <w:tcW w:w="275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w:t>
                  </w:r>
                </w:p>
              </w:tc>
              <w:tc>
                <w:tcPr>
                  <w:tcW w:w="269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埋地油罐区</w:t>
                  </w:r>
                  <w:r>
                    <w:rPr>
                      <w:rFonts w:hint="eastAsia" w:eastAsia="宋体"/>
                      <w:sz w:val="21"/>
                      <w:szCs w:val="21"/>
                    </w:rPr>
                    <w:t>、加油区</w:t>
                  </w:r>
                </w:p>
              </w:tc>
              <w:tc>
                <w:tcPr>
                  <w:tcW w:w="249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重点防渗区</w:t>
                  </w:r>
                </w:p>
              </w:tc>
              <w:tc>
                <w:tcPr>
                  <w:tcW w:w="275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等效黏土防渗层Mb≥6.0m，K≤1×10</w:t>
                  </w:r>
                  <w:r>
                    <w:rPr>
                      <w:rFonts w:eastAsia="宋体"/>
                      <w:sz w:val="21"/>
                      <w:szCs w:val="21"/>
                      <w:vertAlign w:val="superscript"/>
                    </w:rPr>
                    <w:t>-7</w:t>
                  </w:r>
                  <w:r>
                    <w:rPr>
                      <w:rFonts w:eastAsia="宋体"/>
                      <w:sz w:val="21"/>
                      <w:szCs w:val="21"/>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w:t>
                  </w:r>
                </w:p>
              </w:tc>
              <w:tc>
                <w:tcPr>
                  <w:tcW w:w="269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化粪池</w:t>
                  </w:r>
                </w:p>
              </w:tc>
              <w:tc>
                <w:tcPr>
                  <w:tcW w:w="249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一般防渗区</w:t>
                  </w:r>
                </w:p>
              </w:tc>
              <w:tc>
                <w:tcPr>
                  <w:tcW w:w="275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等效黏土防渗层Mb≥</w:t>
                  </w:r>
                  <w:r>
                    <w:rPr>
                      <w:rFonts w:hint="eastAsia" w:eastAsia="宋体"/>
                      <w:sz w:val="21"/>
                      <w:szCs w:val="21"/>
                    </w:rPr>
                    <w:t>1.5</w:t>
                  </w:r>
                  <w:r>
                    <w:rPr>
                      <w:rFonts w:eastAsia="宋体"/>
                      <w:sz w:val="21"/>
                      <w:szCs w:val="21"/>
                    </w:rPr>
                    <w:t>m，K≤1×10</w:t>
                  </w:r>
                  <w:r>
                    <w:rPr>
                      <w:rFonts w:eastAsia="宋体"/>
                      <w:sz w:val="21"/>
                      <w:szCs w:val="21"/>
                      <w:vertAlign w:val="superscript"/>
                    </w:rPr>
                    <w:t>-7</w:t>
                  </w:r>
                  <w:r>
                    <w:rPr>
                      <w:rFonts w:eastAsia="宋体"/>
                      <w:sz w:val="21"/>
                      <w:szCs w:val="21"/>
                    </w:rPr>
                    <w:t>cm/s</w:t>
                  </w:r>
                </w:p>
              </w:tc>
            </w:tr>
          </w:tbl>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（3）</w:t>
            </w:r>
            <w:r>
              <w:rPr>
                <w:rFonts w:eastAsia="宋体" w:cs="宋体"/>
                <w:kern w:val="0"/>
                <w:sz w:val="24"/>
                <w:szCs w:val="24"/>
              </w:rPr>
              <w:t>防渗措施</w:t>
            </w:r>
          </w:p>
          <w:p>
            <w:pPr>
              <w:autoSpaceDE w:val="0"/>
              <w:autoSpaceDN w:val="0"/>
              <w:adjustRightInd w:val="0"/>
              <w:ind w:right="140" w:rightChars="50" w:firstLine="480" w:firstLineChars="200"/>
              <w:rPr>
                <w:rFonts w:eastAsia="宋体"/>
                <w:sz w:val="24"/>
                <w:szCs w:val="24"/>
              </w:rPr>
            </w:pPr>
            <w:r>
              <w:rPr>
                <w:rFonts w:eastAsia="宋体" w:cs="宋体"/>
                <w:kern w:val="0"/>
                <w:sz w:val="24"/>
                <w:szCs w:val="24"/>
              </w:rPr>
              <w:t>本项目埋地油罐采用钢筋混凝土防渗罐池保护，油罐采用</w:t>
            </w:r>
            <w:r>
              <w:rPr>
                <w:rFonts w:hint="eastAsia" w:eastAsia="宋体" w:cs="宋体"/>
                <w:kern w:val="0"/>
                <w:sz w:val="24"/>
                <w:szCs w:val="24"/>
              </w:rPr>
              <w:t>SF</w:t>
            </w:r>
            <w:r>
              <w:rPr>
                <w:rFonts w:eastAsia="宋体" w:cs="宋体"/>
                <w:kern w:val="0"/>
                <w:sz w:val="24"/>
                <w:szCs w:val="24"/>
              </w:rPr>
              <w:t>型双层油罐，加油管道采用双层复合材料管道。其余金属管道采用厚壁管且均安装在混凝土管沟内。同时本项目将按《汽车加油加气站设计与施工规范》（</w:t>
            </w:r>
            <w:r>
              <w:rPr>
                <w:rFonts w:hint="eastAsia" w:eastAsia="宋体" w:cs="宋体"/>
                <w:kern w:val="0"/>
                <w:sz w:val="24"/>
                <w:szCs w:val="24"/>
              </w:rPr>
              <w:t>GB50156-2012，2014修订版</w:t>
            </w:r>
            <w:r>
              <w:rPr>
                <w:rFonts w:eastAsia="宋体" w:cs="宋体"/>
                <w:kern w:val="0"/>
                <w:sz w:val="24"/>
                <w:szCs w:val="24"/>
              </w:rPr>
              <w:t>）的防渗措施以及《地下工程防水技术规范》（</w:t>
            </w:r>
            <w:r>
              <w:rPr>
                <w:rFonts w:hint="eastAsia" w:eastAsia="宋体" w:cs="宋体"/>
                <w:kern w:val="0"/>
                <w:sz w:val="24"/>
                <w:szCs w:val="24"/>
              </w:rPr>
              <w:t>GB50108-2008</w:t>
            </w:r>
            <w:r>
              <w:rPr>
                <w:rFonts w:eastAsia="宋体" w:cs="宋体"/>
                <w:kern w:val="0"/>
                <w:sz w:val="24"/>
                <w:szCs w:val="24"/>
              </w:rPr>
              <w:t>）的有关规定进行</w:t>
            </w:r>
            <w:r>
              <w:rPr>
                <w:rFonts w:hint="eastAsia" w:eastAsia="宋体" w:cs="宋体"/>
                <w:kern w:val="0"/>
                <w:sz w:val="24"/>
                <w:szCs w:val="24"/>
              </w:rPr>
              <w:t>设计。</w:t>
            </w:r>
            <w:r>
              <w:rPr>
                <w:rFonts w:eastAsia="宋体"/>
                <w:sz w:val="24"/>
                <w:szCs w:val="24"/>
              </w:rPr>
              <w:t>双层油罐、防渗罐池的渗漏检测采用在线监测系统</w:t>
            </w:r>
            <w:r>
              <w:rPr>
                <w:rFonts w:hint="eastAsia" w:eastAsia="宋体"/>
                <w:sz w:val="24"/>
                <w:szCs w:val="24"/>
              </w:rPr>
              <w:t>；制定地下水跟踪监测计划，</w:t>
            </w:r>
            <w:r>
              <w:rPr>
                <w:rFonts w:eastAsia="宋体"/>
                <w:sz w:val="24"/>
                <w:szCs w:val="24"/>
              </w:rPr>
              <w:t>设置常规地下水监测井，开展地下水常规监测</w:t>
            </w:r>
            <w:r>
              <w:rPr>
                <w:rFonts w:hint="eastAsia" w:eastAsia="宋体"/>
                <w:sz w:val="24"/>
                <w:szCs w:val="24"/>
              </w:rPr>
              <w:t>（详见章节7.3）</w:t>
            </w:r>
            <w:r>
              <w:rPr>
                <w:rFonts w:eastAsia="宋体"/>
                <w:sz w:val="24"/>
                <w:szCs w:val="24"/>
              </w:rPr>
              <w:t>。</w:t>
            </w:r>
          </w:p>
          <w:p>
            <w:pPr>
              <w:tabs>
                <w:tab w:val="left" w:pos="360"/>
              </w:tabs>
              <w:snapToGrid w:val="0"/>
              <w:ind w:firstLine="460" w:firstLineChars="192"/>
              <w:rPr>
                <w:rFonts w:eastAsia="宋体"/>
                <w:sz w:val="24"/>
                <w:szCs w:val="24"/>
              </w:rPr>
            </w:pPr>
            <w:r>
              <w:rPr>
                <w:rFonts w:eastAsia="宋体"/>
                <w:sz w:val="24"/>
                <w:szCs w:val="24"/>
              </w:rPr>
              <w:t>综上所述，企业在加强管理，强化防控措施的前提下，对区域地下水环境造成影响的可能性较小，不会对评价区地下水产生明显影响。</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7.2.6土壤环境影响</w:t>
            </w:r>
            <w:r>
              <w:rPr>
                <w:rFonts w:ascii="Times New Roman" w:hAnsi="Times New Roman" w:cs="Times New Roman"/>
                <w:b/>
                <w:sz w:val="24"/>
                <w:szCs w:val="24"/>
              </w:rPr>
              <w:t>分析</w:t>
            </w:r>
          </w:p>
          <w:p>
            <w:pPr>
              <w:ind w:firstLine="480" w:firstLineChars="200"/>
              <w:rPr>
                <w:rFonts w:eastAsia="宋体"/>
                <w:kern w:val="24"/>
                <w:sz w:val="24"/>
                <w:szCs w:val="24"/>
              </w:rPr>
            </w:pPr>
            <w:r>
              <w:rPr>
                <w:rFonts w:hint="eastAsia" w:eastAsia="宋体"/>
                <w:kern w:val="24"/>
                <w:sz w:val="24"/>
                <w:szCs w:val="24"/>
              </w:rPr>
              <w:t>根据《环境影响评价技术导则 土壤环境（试行）》（HJ964-2018），本项目属于污染影响型，行业类别属于“附录 A社会事业与服务业-加油站”，属于“Ⅲ类”项目，本项目永久占地规模为小型。项目距离西侧沭阳光荣院（养老院）10m，土壤敏感程度为敏感。因此，项目土壤环境影响评价等级为三级。</w:t>
            </w:r>
          </w:p>
          <w:p>
            <w:pPr>
              <w:ind w:firstLine="480" w:firstLineChars="200"/>
              <w:rPr>
                <w:rFonts w:eastAsia="宋体"/>
                <w:kern w:val="24"/>
                <w:sz w:val="24"/>
                <w:szCs w:val="24"/>
              </w:rPr>
            </w:pPr>
            <w:r>
              <w:rPr>
                <w:rFonts w:hint="eastAsia" w:eastAsia="宋体"/>
                <w:kern w:val="24"/>
                <w:sz w:val="24"/>
                <w:szCs w:val="24"/>
              </w:rPr>
              <w:t>根据导则，本项目对土壤进行定性描述评价。加油站对土壤的主要影响来源是储油罐，如储油罐发生泄漏或渗漏对土壤的污染较为严重，由于这种渗漏可穿越较厚的土壤层，使土壤层中吸附大量的燃料油，土壤层吸附的燃料油不仅会造成植物生物的死亡，还会使得土壤结构发生变化，造成土壤性质的改变。</w:t>
            </w:r>
          </w:p>
          <w:p>
            <w:pPr>
              <w:ind w:firstLine="480" w:firstLineChars="200"/>
              <w:rPr>
                <w:rFonts w:eastAsia="宋体"/>
                <w:kern w:val="24"/>
                <w:sz w:val="24"/>
                <w:szCs w:val="24"/>
              </w:rPr>
            </w:pPr>
            <w:r>
              <w:rPr>
                <w:rFonts w:hint="eastAsia" w:eastAsia="宋体"/>
                <w:kern w:val="24"/>
                <w:sz w:val="24"/>
                <w:szCs w:val="24"/>
              </w:rPr>
              <w:t>本项目将按《汽车加油加气站设计与施工规范》（GB50156-2012）（2014 年版）的要求进行设计和施工，储油设备采用地埋式SF双层钢制卧式油罐，油路管线采用无缝钢管，使用焊接工艺，敷设于地下，钢罐和管进行加强级防腐处理，即采用玻璃布、沥青、聚氯乙烯工业膜等材料做成多层防腐涂层（其总厚度不小于5.5 厘米），以防止钢罐和钢管腐蚀造成油品泄漏而污染土壤及地下水。但随着时间的推移，地下油罐由于金属材料的锈蚀及管线腐蚀会出现不同程度的渗漏，建议对地下油罐区采取内部加层和有关保护措施，防止渗入土壤。</w:t>
            </w:r>
          </w:p>
          <w:p>
            <w:pPr>
              <w:ind w:firstLine="480" w:firstLineChars="200"/>
              <w:rPr>
                <w:rFonts w:eastAsia="宋体"/>
                <w:kern w:val="24"/>
                <w:sz w:val="24"/>
                <w:szCs w:val="24"/>
              </w:rPr>
            </w:pPr>
            <w:r>
              <w:rPr>
                <w:rFonts w:hint="eastAsia" w:eastAsia="宋体"/>
                <w:kern w:val="24"/>
                <w:sz w:val="24"/>
                <w:szCs w:val="24"/>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因此，项目正常运营对土壤环境无明显影响。</w:t>
            </w:r>
          </w:p>
          <w:p>
            <w:pPr>
              <w:ind w:firstLine="480" w:firstLineChars="200"/>
              <w:rPr>
                <w:rFonts w:eastAsia="宋体"/>
                <w:kern w:val="24"/>
                <w:sz w:val="24"/>
                <w:szCs w:val="24"/>
              </w:rPr>
            </w:pPr>
            <w:r>
              <w:rPr>
                <w:rFonts w:hint="eastAsia" w:eastAsia="宋体"/>
                <w:kern w:val="24"/>
                <w:sz w:val="24"/>
                <w:szCs w:val="24"/>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ind w:firstLine="480" w:firstLineChars="200"/>
              <w:rPr>
                <w:rFonts w:eastAsia="宋体"/>
                <w:kern w:val="24"/>
                <w:sz w:val="24"/>
                <w:szCs w:val="24"/>
              </w:rPr>
            </w:pPr>
            <w:r>
              <w:rPr>
                <w:rFonts w:hint="eastAsia" w:eastAsia="宋体"/>
                <w:kern w:val="24"/>
                <w:sz w:val="24"/>
                <w:szCs w:val="24"/>
              </w:rPr>
              <w:t>经过以上措施后，可以有效避免储油罐发生泄漏事故，防止油罐对土壤的污染。</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7.2.7</w:t>
            </w:r>
            <w:r>
              <w:rPr>
                <w:rFonts w:ascii="Times New Roman" w:hAnsi="Times New Roman" w:cs="Times New Roman"/>
                <w:b/>
                <w:sz w:val="24"/>
                <w:szCs w:val="24"/>
              </w:rPr>
              <w:t>环境风险分析</w:t>
            </w:r>
          </w:p>
          <w:p>
            <w:pPr>
              <w:ind w:firstLine="480" w:firstLineChars="200"/>
              <w:rPr>
                <w:rFonts w:eastAsia="宋体"/>
                <w:kern w:val="24"/>
                <w:sz w:val="24"/>
                <w:szCs w:val="24"/>
              </w:rPr>
            </w:pPr>
            <w:r>
              <w:rPr>
                <w:rFonts w:hint="eastAsia" w:eastAsia="宋体"/>
                <w:kern w:val="24"/>
                <w:sz w:val="24"/>
                <w:szCs w:val="24"/>
              </w:rPr>
              <w:t>“环境风险”是指在一定时间内因人类行为，与人类密切相关的自然行为，或人与自然互相作用过程中引起的，具有不确定特征（突发性）和可能对人类健康、生命、财产及周围环境造成危害的环境事件发生的概率。</w:t>
            </w:r>
          </w:p>
          <w:p>
            <w:pPr>
              <w:ind w:firstLine="480" w:firstLineChars="200"/>
              <w:rPr>
                <w:rFonts w:eastAsia="宋体"/>
                <w:kern w:val="24"/>
                <w:sz w:val="24"/>
                <w:szCs w:val="24"/>
              </w:rPr>
            </w:pPr>
            <w:r>
              <w:rPr>
                <w:rFonts w:hint="eastAsia" w:eastAsia="宋体"/>
                <w:kern w:val="24"/>
                <w:sz w:val="24"/>
                <w:szCs w:val="24"/>
              </w:rPr>
              <w:t>环境风险评价是在分析项目事故发生概率和预测事故状态下的影响程度基础上，对项目建设和运行过程中可能存在的事故隐患（事故源）提出事故防范措施和事故后应急措施，使建设项目的环境风险影响尽可能降到最低，项目风险度达到可接受水平。</w:t>
            </w:r>
          </w:p>
          <w:p>
            <w:pPr>
              <w:ind w:firstLine="480" w:firstLineChars="200"/>
              <w:rPr>
                <w:rFonts w:eastAsia="宋体"/>
                <w:kern w:val="24"/>
                <w:sz w:val="24"/>
                <w:szCs w:val="24"/>
              </w:rPr>
            </w:pPr>
            <w:r>
              <w:rPr>
                <w:rFonts w:hint="eastAsia" w:eastAsia="宋体"/>
                <w:kern w:val="24"/>
                <w:sz w:val="24"/>
                <w:szCs w:val="24"/>
              </w:rPr>
              <w:t>根据《建设项目环境风险评价技术导则》（HJ/T169-2018）附录B 中表B.1 突发环境事件风险物质及临界量，油类物质（汽油、柴油）属于风险物质。因此，对该项目进行风险评价。</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（一）评价等级</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根据《建设项目环境风险评价技术导则》（HJ/T169-2018）的规定，计算危险物质数量与临界量比值（Q）。</w:t>
            </w:r>
            <w:r>
              <w:rPr>
                <w:rFonts w:ascii="Times New Roman" w:hAnsi="Times New Roman" w:cs="Times New Roman"/>
                <w:sz w:val="24"/>
                <w:szCs w:val="24"/>
              </w:rPr>
              <w:t>根据</w:t>
            </w:r>
            <w:r>
              <w:rPr>
                <w:rFonts w:hint="eastAsia" w:ascii="Times New Roman" w:hAnsi="Times New Roman" w:cs="Times New Roman"/>
                <w:sz w:val="24"/>
                <w:szCs w:val="24"/>
              </w:rPr>
              <w:t>导则中附录B</w:t>
            </w:r>
            <w:r>
              <w:rPr>
                <w:rFonts w:ascii="Times New Roman" w:hAnsi="Times New Roman" w:cs="Times New Roman"/>
                <w:sz w:val="24"/>
                <w:szCs w:val="24"/>
              </w:rPr>
              <w:t>，</w:t>
            </w:r>
            <w:r>
              <w:rPr>
                <w:rFonts w:hint="eastAsia" w:ascii="Times New Roman" w:hAnsi="Times New Roman" w:cs="Times New Roman"/>
                <w:sz w:val="24"/>
                <w:szCs w:val="24"/>
              </w:rPr>
              <w:t>油类物质</w:t>
            </w:r>
            <w:r>
              <w:rPr>
                <w:rFonts w:ascii="Times New Roman" w:hAnsi="Times New Roman" w:cs="Times New Roman"/>
                <w:sz w:val="24"/>
                <w:szCs w:val="24"/>
              </w:rPr>
              <w:t>临界量为2</w:t>
            </w:r>
            <w:r>
              <w:rPr>
                <w:rFonts w:hint="eastAsia" w:ascii="Times New Roman" w:hAnsi="Times New Roman" w:cs="Times New Roman"/>
                <w:sz w:val="24"/>
                <w:szCs w:val="24"/>
              </w:rPr>
              <w:t>5</w:t>
            </w:r>
            <w:r>
              <w:rPr>
                <w:rFonts w:ascii="Times New Roman" w:hAnsi="Times New Roman" w:cs="Times New Roman"/>
                <w:sz w:val="24"/>
                <w:szCs w:val="24"/>
              </w:rPr>
              <w:t>00t</w:t>
            </w:r>
            <w:r>
              <w:rPr>
                <w:rFonts w:hint="eastAsia"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汽油总储量为</w:t>
            </w:r>
            <w:r>
              <w:rPr>
                <w:rFonts w:hint="eastAsia" w:ascii="Times New Roman" w:hAnsi="Times New Roman" w:cs="Times New Roman"/>
                <w:sz w:val="24"/>
                <w:szCs w:val="24"/>
              </w:rPr>
              <w:t>90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，密度取0.75，装填系数取0.</w:t>
            </w:r>
            <w:r>
              <w:rPr>
                <w:rFonts w:hint="eastAsia" w:ascii="Times New Roman" w:hAnsi="Times New Roman" w:cs="Times New Roman"/>
                <w:sz w:val="24"/>
                <w:szCs w:val="24"/>
              </w:rPr>
              <w:t>85</w:t>
            </w:r>
            <w:r>
              <w:rPr>
                <w:rFonts w:ascii="Times New Roman" w:hAnsi="Times New Roman" w:cs="Times New Roman"/>
                <w:sz w:val="24"/>
                <w:szCs w:val="24"/>
              </w:rPr>
              <w:t>，则储量为</w:t>
            </w:r>
            <w:r>
              <w:rPr>
                <w:rFonts w:hint="eastAsia" w:ascii="Times New Roman" w:hAnsi="Times New Roman" w:cs="Times New Roman"/>
                <w:sz w:val="24"/>
                <w:szCs w:val="24"/>
              </w:rPr>
              <w:t>90</w:t>
            </w:r>
            <w:r>
              <w:rPr>
                <w:rFonts w:ascii="Times New Roman" w:hAnsi="Times New Roman" w:cs="Times New Roman"/>
                <w:sz w:val="24"/>
                <w:szCs w:val="24"/>
              </w:rPr>
              <w:t>*0.75*0.</w:t>
            </w:r>
            <w:r>
              <w:rPr>
                <w:rFonts w:hint="eastAsia" w:ascii="Times New Roman" w:hAnsi="Times New Roman" w:cs="Times New Roman"/>
                <w:sz w:val="24"/>
                <w:szCs w:val="24"/>
              </w:rPr>
              <w:t>85</w:t>
            </w:r>
            <w:r>
              <w:rPr>
                <w:rFonts w:ascii="Times New Roman" w:hAnsi="Times New Roman" w:cs="Times New Roman"/>
                <w:sz w:val="24"/>
                <w:szCs w:val="24"/>
              </w:rPr>
              <w:t>=</w:t>
            </w:r>
            <w:r>
              <w:rPr>
                <w:rFonts w:hint="eastAsia" w:ascii="Times New Roman" w:hAnsi="Times New Roman" w:cs="Times New Roman"/>
                <w:sz w:val="24"/>
                <w:szCs w:val="24"/>
              </w:rPr>
              <w:t>53.375</w:t>
            </w:r>
            <w:r>
              <w:rPr>
                <w:rFonts w:ascii="Times New Roman" w:hAnsi="Times New Roman" w:cs="Times New Roman"/>
                <w:sz w:val="24"/>
                <w:szCs w:val="24"/>
              </w:rPr>
              <w:t>t；柴油总储量为</w:t>
            </w:r>
            <w:r>
              <w:rPr>
                <w:rFonts w:hint="eastAsia" w:ascii="Times New Roman" w:hAnsi="Times New Roman" w:cs="Times New Roman"/>
                <w:sz w:val="24"/>
                <w:szCs w:val="24"/>
              </w:rPr>
              <w:t>30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，密度取0.8</w:t>
            </w:r>
            <w:r>
              <w:rPr>
                <w:rFonts w:hint="eastAsia" w:ascii="Times New Roman" w:hAnsi="Times New Roman" w:cs="Times New Roman"/>
                <w:sz w:val="24"/>
                <w:szCs w:val="24"/>
              </w:rPr>
              <w:t>8</w:t>
            </w:r>
            <w:r>
              <w:rPr>
                <w:rFonts w:ascii="Times New Roman" w:hAnsi="Times New Roman" w:cs="Times New Roman"/>
                <w:sz w:val="24"/>
                <w:szCs w:val="24"/>
              </w:rPr>
              <w:t>，装填系数取0.9，则储量为</w:t>
            </w:r>
            <w:r>
              <w:rPr>
                <w:rFonts w:hint="eastAsia" w:ascii="Times New Roman" w:hAnsi="Times New Roman" w:cs="Times New Roman"/>
                <w:sz w:val="24"/>
                <w:szCs w:val="24"/>
              </w:rPr>
              <w:t>30</w:t>
            </w:r>
            <w:r>
              <w:rPr>
                <w:rFonts w:ascii="Times New Roman" w:hAnsi="Times New Roman" w:cs="Times New Roman"/>
                <w:sz w:val="24"/>
                <w:szCs w:val="24"/>
              </w:rPr>
              <w:t>*0.8</w:t>
            </w:r>
            <w:r>
              <w:rPr>
                <w:rFonts w:hint="eastAsia" w:ascii="Times New Roman" w:hAnsi="Times New Roman" w:cs="Times New Roman"/>
                <w:sz w:val="24"/>
                <w:szCs w:val="24"/>
              </w:rPr>
              <w:t>8</w:t>
            </w:r>
            <w:r>
              <w:rPr>
                <w:rFonts w:ascii="Times New Roman" w:hAnsi="Times New Roman" w:cs="Times New Roman"/>
                <w:sz w:val="24"/>
                <w:szCs w:val="24"/>
              </w:rPr>
              <w:t>*0.9=</w:t>
            </w:r>
            <w:r>
              <w:rPr>
                <w:rFonts w:hint="eastAsia" w:ascii="Times New Roman" w:hAnsi="Times New Roman" w:cs="Times New Roman"/>
                <w:sz w:val="24"/>
                <w:szCs w:val="24"/>
              </w:rPr>
              <w:t>23.76</w:t>
            </w:r>
            <w:r>
              <w:rPr>
                <w:rFonts w:ascii="Times New Roman" w:hAnsi="Times New Roman" w:cs="Times New Roman"/>
                <w:sz w:val="24"/>
                <w:szCs w:val="24"/>
              </w:rPr>
              <w:t>t</w:t>
            </w:r>
            <w:r>
              <w:rPr>
                <w:rFonts w:hint="eastAsia" w:ascii="Times New Roman" w:hAnsi="Times New Roman" w:cs="Times New Roman"/>
                <w:sz w:val="24"/>
                <w:szCs w:val="24"/>
              </w:rPr>
              <w:t>。则</w:t>
            </w:r>
            <w:r>
              <w:rPr>
                <w:rFonts w:ascii="Times New Roman" w:hAnsi="Times New Roman" w:cs="Times New Roman"/>
                <w:sz w:val="24"/>
                <w:szCs w:val="24"/>
              </w:rPr>
              <w:t>本项目汽油和柴油总储存量约为</w:t>
            </w:r>
            <w:r>
              <w:rPr>
                <w:rFonts w:hint="eastAsia" w:ascii="Times New Roman" w:hAnsi="Times New Roman" w:cs="Times New Roman"/>
                <w:sz w:val="24"/>
                <w:szCs w:val="24"/>
              </w:rPr>
              <w:t>77.135</w:t>
            </w:r>
            <w:r>
              <w:rPr>
                <w:rFonts w:ascii="Times New Roman" w:hAnsi="Times New Roman" w:cs="Times New Roman"/>
                <w:sz w:val="24"/>
                <w:szCs w:val="24"/>
              </w:rPr>
              <w:t>t。</w:t>
            </w:r>
          </w:p>
          <w:p>
            <w:pPr>
              <w:pStyle w:val="13"/>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21危险物质数量与临界量比值（Q）</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17"/>
              <w:gridCol w:w="2434"/>
              <w:gridCol w:w="2435"/>
              <w:gridCol w:w="24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名称</w:t>
                  </w:r>
                </w:p>
              </w:tc>
              <w:tc>
                <w:tcPr>
                  <w:tcW w:w="24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临界量Qn（t）</w:t>
                  </w:r>
                </w:p>
              </w:tc>
              <w:tc>
                <w:tcPr>
                  <w:tcW w:w="243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最大</w:t>
                  </w:r>
                  <w:r>
                    <w:rPr>
                      <w:rFonts w:eastAsia="宋体"/>
                      <w:sz w:val="21"/>
                      <w:szCs w:val="21"/>
                    </w:rPr>
                    <w:t>贮存量qn（t）</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qn/Qn</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r>
                    <w:rPr>
                      <w:rFonts w:hint="eastAsia" w:eastAsia="宋体"/>
                      <w:sz w:val="21"/>
                      <w:szCs w:val="21"/>
                    </w:rPr>
                    <w:t>、柴油</w:t>
                  </w:r>
                </w:p>
              </w:tc>
              <w:tc>
                <w:tcPr>
                  <w:tcW w:w="24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00</w:t>
                  </w:r>
                </w:p>
              </w:tc>
              <w:tc>
                <w:tcPr>
                  <w:tcW w:w="243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77.135</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086"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0.031</w:t>
                  </w:r>
                </w:p>
              </w:tc>
            </w:tr>
          </w:tbl>
          <w:p>
            <w:pPr>
              <w:ind w:firstLine="480" w:firstLineChars="200"/>
              <w:rPr>
                <w:rFonts w:eastAsia="宋体"/>
                <w:kern w:val="24"/>
                <w:sz w:val="24"/>
                <w:szCs w:val="24"/>
              </w:rPr>
            </w:pPr>
            <w:r>
              <w:rPr>
                <w:rFonts w:eastAsia="宋体"/>
                <w:kern w:val="24"/>
                <w:sz w:val="24"/>
                <w:szCs w:val="24"/>
              </w:rPr>
              <w:t>由上表可见，</w:t>
            </w:r>
            <w:r>
              <w:rPr>
                <w:rFonts w:hint="eastAsia" w:eastAsia="宋体"/>
                <w:kern w:val="24"/>
                <w:sz w:val="24"/>
                <w:szCs w:val="24"/>
              </w:rPr>
              <w:t>本</w:t>
            </w:r>
            <w:r>
              <w:rPr>
                <w:rFonts w:eastAsia="宋体"/>
                <w:kern w:val="24"/>
                <w:sz w:val="24"/>
                <w:szCs w:val="24"/>
              </w:rPr>
              <w:t>项目</w:t>
            </w:r>
            <w:r>
              <w:rPr>
                <w:rFonts w:hint="eastAsia" w:eastAsia="宋体"/>
                <w:kern w:val="24"/>
                <w:sz w:val="24"/>
                <w:szCs w:val="24"/>
              </w:rPr>
              <w:t>风险物质</w:t>
            </w:r>
            <w:r>
              <w:rPr>
                <w:rFonts w:eastAsia="宋体"/>
                <w:kern w:val="24"/>
                <w:sz w:val="24"/>
                <w:szCs w:val="24"/>
              </w:rPr>
              <w:t>∑qn/Qn小于1，</w:t>
            </w:r>
            <w:r>
              <w:rPr>
                <w:rFonts w:hint="eastAsia" w:eastAsia="宋体"/>
                <w:kern w:val="24"/>
                <w:sz w:val="24"/>
                <w:szCs w:val="24"/>
              </w:rPr>
              <w:t>风险潜势为Ⅰ</w:t>
            </w:r>
            <w:r>
              <w:rPr>
                <w:rFonts w:eastAsia="宋体"/>
                <w:kern w:val="24"/>
                <w:sz w:val="24"/>
                <w:szCs w:val="24"/>
              </w:rPr>
              <w:t>。</w:t>
            </w:r>
            <w:r>
              <w:rPr>
                <w:rFonts w:hint="eastAsia" w:eastAsia="宋体"/>
                <w:kern w:val="24"/>
                <w:sz w:val="24"/>
                <w:szCs w:val="24"/>
              </w:rPr>
              <w:t>根据《建设项目环境风险评价技术导则》（HJ-T169-2018）中表1 评价工作等级划分，本项目环境风险评价等级为简单分析，参照导则附录A 内容进行简单风险分析。</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（二）环境风险识别</w:t>
            </w:r>
          </w:p>
          <w:p>
            <w:pPr>
              <w:ind w:firstLine="480" w:firstLineChars="200"/>
              <w:rPr>
                <w:rFonts w:eastAsia="宋体"/>
                <w:kern w:val="24"/>
                <w:sz w:val="24"/>
                <w:szCs w:val="24"/>
              </w:rPr>
            </w:pPr>
            <w:r>
              <w:rPr>
                <w:rFonts w:hint="eastAsia" w:eastAsia="宋体"/>
                <w:kern w:val="24"/>
                <w:sz w:val="24"/>
                <w:szCs w:val="24"/>
              </w:rPr>
              <w:t>1、原辅料理化特性</w:t>
            </w:r>
          </w:p>
          <w:p>
            <w:pPr>
              <w:ind w:firstLine="480" w:firstLineChars="200"/>
              <w:rPr>
                <w:sz w:val="24"/>
                <w:szCs w:val="24"/>
              </w:rPr>
            </w:pPr>
            <w:r>
              <w:rPr>
                <w:rFonts w:hint="eastAsia" w:eastAsia="宋体"/>
                <w:kern w:val="24"/>
                <w:sz w:val="24"/>
                <w:szCs w:val="24"/>
              </w:rPr>
              <w:t>该加油站主要经营汽油及柴油的销售，汽油和柴油</w:t>
            </w:r>
            <w:r>
              <w:rPr>
                <w:rFonts w:eastAsia="宋体"/>
                <w:kern w:val="24"/>
                <w:sz w:val="24"/>
                <w:szCs w:val="24"/>
              </w:rPr>
              <w:t>危险特性和理化性质见表7-</w:t>
            </w:r>
            <w:r>
              <w:rPr>
                <w:rFonts w:hint="eastAsia" w:eastAsia="宋体"/>
                <w:kern w:val="24"/>
                <w:sz w:val="24"/>
                <w:szCs w:val="24"/>
              </w:rPr>
              <w:t>22</w:t>
            </w:r>
            <w:r>
              <w:rPr>
                <w:rFonts w:eastAsia="宋体"/>
                <w:kern w:val="24"/>
                <w:sz w:val="24"/>
                <w:szCs w:val="24"/>
              </w:rPr>
              <w:t>、表7-</w:t>
            </w:r>
            <w:r>
              <w:rPr>
                <w:rFonts w:hint="eastAsia" w:eastAsia="宋体"/>
                <w:kern w:val="24"/>
                <w:sz w:val="24"/>
                <w:szCs w:val="24"/>
              </w:rPr>
              <w:t>23</w:t>
            </w:r>
            <w:r>
              <w:rPr>
                <w:rFonts w:eastAsia="宋体"/>
                <w:kern w:val="24"/>
                <w:sz w:val="24"/>
                <w:szCs w:val="24"/>
              </w:rPr>
              <w:t>。</w:t>
            </w:r>
          </w:p>
          <w:p>
            <w:pPr>
              <w:pStyle w:val="13"/>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22</w:t>
            </w:r>
            <w:r>
              <w:rPr>
                <w:rFonts w:ascii="Times New Roman" w:hAnsi="Times New Roman" w:cs="Times New Roman"/>
                <w:b/>
                <w:sz w:val="24"/>
                <w:szCs w:val="24"/>
              </w:rPr>
              <w:t xml:space="preserve">  汽油的理化性质和危险特性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27"/>
              <w:gridCol w:w="880"/>
              <w:gridCol w:w="1621"/>
              <w:gridCol w:w="435"/>
              <w:gridCol w:w="22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第一部分    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危险性类别：</w:t>
                  </w:r>
                </w:p>
              </w:tc>
              <w:tc>
                <w:tcPr>
                  <w:tcW w:w="310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第3.1类低闪点易燃液体。</w:t>
                  </w:r>
                </w:p>
              </w:tc>
              <w:tc>
                <w:tcPr>
                  <w:tcW w:w="2056"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燃爆危险：</w:t>
                  </w:r>
                </w:p>
              </w:tc>
              <w:tc>
                <w:tcPr>
                  <w:tcW w:w="22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侵入途径：</w:t>
                  </w:r>
                </w:p>
              </w:tc>
              <w:tc>
                <w:tcPr>
                  <w:tcW w:w="310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吸入、食入、经皮吸收。</w:t>
                  </w:r>
                </w:p>
              </w:tc>
              <w:tc>
                <w:tcPr>
                  <w:tcW w:w="2056"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有害燃烧产物：</w:t>
                  </w:r>
                </w:p>
              </w:tc>
              <w:tc>
                <w:tcPr>
                  <w:tcW w:w="22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健康危害：</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环境危害：</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第二部分   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外观及性状：</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无色或淡黄色易挥发液体，具有特殊臭味。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熔点（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&lt;-60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相对密度（水＝1）</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0.70～0.79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闪点（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相对密度（空气=1）</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引燃温度（</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415～530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爆炸上限％（V/V）：</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沸点（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40～200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爆炸下限％（V/V）：</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溶解性：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主要用途：</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主要用作汽油机的燃料，用于橡胶、制鞋、印刷、制革、等行业，也可用作机械零件的去污剂。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第三部分   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稳定性：</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避免接触的条件：</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禁配物：</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强氧化剂</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聚合危害：</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分解产物：</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第四部分  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急性毒性：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LD50 67000mg/kg（小鼠经口），（120号溶剂汽油）</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LC50  103000mg/m</w:t>
                  </w:r>
                  <w:r>
                    <w:rPr>
                      <w:rFonts w:eastAsia="宋体"/>
                      <w:sz w:val="21"/>
                      <w:szCs w:val="21"/>
                      <w:vertAlign w:val="superscript"/>
                    </w:rPr>
                    <w:t>3</w:t>
                  </w:r>
                  <w:r>
                    <w:rPr>
                      <w:rFonts w:eastAsia="宋体"/>
                      <w:sz w:val="21"/>
                      <w:szCs w:val="21"/>
                    </w:rPr>
                    <w:t>小鼠，2小时（120号溶剂汽油）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急性中毒：</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慢性中毒：</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刺激性：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人经眼：140ppm（8小时），轻度刺激。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最高容许浓度</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300mg/m3</w:t>
                  </w:r>
                </w:p>
              </w:tc>
            </w:tr>
          </w:tbl>
          <w:p>
            <w:pPr>
              <w:pStyle w:val="13"/>
              <w:spacing w:line="500" w:lineRule="exact"/>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23</w:t>
            </w:r>
            <w:r>
              <w:rPr>
                <w:rFonts w:ascii="Times New Roman" w:hAnsi="Times New Roman" w:cs="Times New Roman"/>
                <w:b/>
                <w:sz w:val="24"/>
                <w:szCs w:val="24"/>
              </w:rPr>
              <w:t xml:space="preserve">  柴油的理化性质和危险特性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04"/>
              <w:gridCol w:w="440"/>
              <w:gridCol w:w="440"/>
              <w:gridCol w:w="1480"/>
              <w:gridCol w:w="142"/>
              <w:gridCol w:w="288"/>
              <w:gridCol w:w="23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第一部分  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危险性类别：</w:t>
                  </w:r>
                </w:p>
              </w:tc>
              <w:tc>
                <w:tcPr>
                  <w:tcW w:w="284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第3.3类高闪点 易燃液体</w:t>
                  </w:r>
                </w:p>
              </w:tc>
              <w:tc>
                <w:tcPr>
                  <w:tcW w:w="1953"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燃爆危险：</w:t>
                  </w:r>
                </w:p>
              </w:tc>
              <w:tc>
                <w:tcPr>
                  <w:tcW w:w="240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侵入途径：</w:t>
                  </w:r>
                </w:p>
              </w:tc>
              <w:tc>
                <w:tcPr>
                  <w:tcW w:w="284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吸入、食入、经皮吸收</w:t>
                  </w:r>
                </w:p>
              </w:tc>
              <w:tc>
                <w:tcPr>
                  <w:tcW w:w="1953"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有害燃烧产物：</w:t>
                  </w:r>
                </w:p>
              </w:tc>
              <w:tc>
                <w:tcPr>
                  <w:tcW w:w="240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环境危害：</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第二部分   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外观及性状：</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稍有粘性的棕色液体。</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主要用途：</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用作柴油机的燃料等。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闪点（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45～55</w:t>
                  </w:r>
                  <w:r>
                    <w:rPr>
                      <w:rFonts w:hint="eastAsia" w:eastAsia="宋体"/>
                      <w:sz w:val="21"/>
                      <w:szCs w:val="21"/>
                    </w:rPr>
                    <w:t>℃</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相对密度（水＝1）：</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0.87～0.9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沸点（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200～350</w:t>
                  </w:r>
                  <w:r>
                    <w:rPr>
                      <w:rFonts w:hint="eastAsia" w:eastAsia="宋体"/>
                      <w:sz w:val="21"/>
                      <w:szCs w:val="21"/>
                    </w:rPr>
                    <w:t>℃</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爆炸上限％（V/V）：</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自然点（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257</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爆炸下限％（V/V）：</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溶解性：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第三部分   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稳定性：</w:t>
                  </w:r>
                </w:p>
              </w:tc>
              <w:tc>
                <w:tcPr>
                  <w:tcW w:w="19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w:t>
                  </w:r>
                </w:p>
              </w:tc>
              <w:tc>
                <w:tcPr>
                  <w:tcW w:w="241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避免接触的条件：</w:t>
                  </w:r>
                </w:p>
              </w:tc>
              <w:tc>
                <w:tcPr>
                  <w:tcW w:w="284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禁配物：</w:t>
                  </w:r>
                </w:p>
              </w:tc>
              <w:tc>
                <w:tcPr>
                  <w:tcW w:w="19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强氧化剂、卤素</w:t>
                  </w:r>
                </w:p>
              </w:tc>
              <w:tc>
                <w:tcPr>
                  <w:tcW w:w="241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聚合危害：</w:t>
                  </w:r>
                </w:p>
              </w:tc>
              <w:tc>
                <w:tcPr>
                  <w:tcW w:w="284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分解产物：</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第四部分   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急性毒性：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LD50 7500mg/kg（大鼠经口）   LD＞5ml/mg（兔经皮）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急性中毒：</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皮肤接触柴油可引起接触性皮炎、油性痤疮，吸入可引起吸入性肺炎，能经胎盘进入胎儿血中。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慢性中毒：</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柴油废气可引起眼、鼻刺激症状，头痛。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刺激性：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具有刺激作用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最高容许浓度</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目前无标准</w:t>
                  </w:r>
                </w:p>
              </w:tc>
            </w:tr>
          </w:tbl>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2、主要物料风险识别</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根据《常用危险化学品的分类及标志》（GB13690-92），常用危险化学品按其主要危险特性分为8 类。汽油属第3 类“易燃液体”中的“低闪点液体”。建筑火险分级为汽油为甲级，柴油为乙级。由于汽油闪点很低，因此，按照《爆炸危险场所安全规定》（劳动部发[1995]56 号），加油站属于特别危险场所。其危险特性为：①汽油蒸汽与空气易形成爆炸性混合物；②与氧化剂会发生强烈反应，遇明火、高热会引起燃烧爆炸。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、火灾爆炸危险</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汽油、柴油均属易燃、易爆液体，如果在储存、输送过程发生跑、冒、滴、漏，卸油过程中如果静电接地不好或管线、接头等有渗漏，加油过程加油设备及管线出现故障或加油过程操作不当等会引起油料泄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因此，本项目加油作业区内，不得有“明火地点”或“散发火花地点”。</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hint="eastAsia" w:ascii="Times New Roman" w:hAnsi="Times New Roman" w:cs="Times New Roman"/>
                <w:sz w:val="24"/>
                <w:szCs w:val="24"/>
              </w:rPr>
              <w:t>、毒性危害</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加油站主要的毒性物质为汽油和柴油，其毒性危害如下：</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汽油对中枢神经系统有麻醉作用。轻度中毒症状有头晕、头痛、恶心、呕吐、步态不稳、共济失调。高浓度吸入出现中毒性脑病。极高浓度吸入引起意识突然丧失、反射性呼吸停止。液体吸入呼吸道可引起吸入性皮炎。溅入眼内可致角膜溃疡、穿孔，甚至失明。皮肤接触致急性接触性皮炎，甚至灼伤。皮肤接触柴油可引起接触性皮炎、油性痤疮，吸入可引起吸入性肺炎，能经胎盘进入胎儿血中。柴油废气可引起眼、鼻刺激症状，头晕及头痛。</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hint="eastAsia" w:ascii="Times New Roman" w:hAnsi="Times New Roman" w:cs="Times New Roman"/>
                <w:sz w:val="24"/>
                <w:szCs w:val="24"/>
              </w:rPr>
              <w:t>、其它危险、危害性</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加油站的电气设备较多，若绝缘、保护装置不良或损坏及人的误操作，易造成触电事故。</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3、主要风险场所识别</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①储罐区：储罐是加油站最容易发生事故的场所，如油罐泄漏遇雷击或静电闪火引燃引起爆炸。</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②加油岛：加油岛为各种机动车辆加油的场所。由于汽车尾气带火星、加油过满溢出、加油机漏油、加油机防爆电气故障、抽烟等原因，容易引发火灾爆炸事故。</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③卸油作业：加油车不熄火，送油车静电没有消散，油罐车卸油连通软管导静电性能差；雷雨天往油罐卸油或往汽车车箱加油速度过快，加油操作失误；密闭卸油接口处漏油；对明火源管理不严等，都有可能会导致火灾、爆炸或设备损坏或人身伤亡事故。</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（三）源项分析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1、事故类型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加油站的功能主要是对汽油和柴油进行储存及加油，工艺流程包括汽车卸油、储存、发油等。根据工程的特点并调研同类型项目的事故类型，本加油站主要事故类型可以分为火灾与爆炸、溢出与泄漏两大类。</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（1）火灾与爆炸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加油站若要发生火灾及爆炸，必须具备下列条件：</w:t>
            </w:r>
            <w:r>
              <w:rPr>
                <w:rFonts w:hint="eastAsia" w:hAnsi="宋体" w:cs="宋体"/>
                <w:sz w:val="24"/>
                <w:szCs w:val="24"/>
              </w:rPr>
              <w:t>①</w:t>
            </w:r>
            <w:r>
              <w:rPr>
                <w:rFonts w:ascii="Times New Roman" w:hAnsi="Times New Roman" w:cs="Times New Roman"/>
                <w:sz w:val="24"/>
                <w:szCs w:val="24"/>
              </w:rPr>
              <w:t>油类泄漏或油气蒸发；</w:t>
            </w:r>
            <w:r>
              <w:rPr>
                <w:rFonts w:hint="eastAsia" w:hAnsi="宋体" w:cs="宋体"/>
                <w:sz w:val="24"/>
                <w:szCs w:val="24"/>
              </w:rPr>
              <w:t>②</w:t>
            </w:r>
            <w:r>
              <w:rPr>
                <w:rFonts w:ascii="Times New Roman" w:hAnsi="Times New Roman" w:cs="Times New Roman"/>
                <w:sz w:val="24"/>
                <w:szCs w:val="24"/>
              </w:rPr>
              <w:t>有足够的空气助燃；</w:t>
            </w:r>
            <w:r>
              <w:rPr>
                <w:rFonts w:hint="eastAsia" w:hAnsi="宋体" w:cs="宋体"/>
                <w:sz w:val="24"/>
                <w:szCs w:val="24"/>
              </w:rPr>
              <w:t>③</w:t>
            </w:r>
            <w:r>
              <w:rPr>
                <w:rFonts w:ascii="Times New Roman" w:hAnsi="Times New Roman" w:cs="Times New Roman"/>
                <w:sz w:val="24"/>
                <w:szCs w:val="24"/>
              </w:rPr>
              <w:t>油气必须与空气混和，并达到一定的浓度；</w:t>
            </w:r>
            <w:r>
              <w:rPr>
                <w:rFonts w:hint="eastAsia" w:hAnsi="宋体" w:cs="宋体"/>
                <w:sz w:val="24"/>
                <w:szCs w:val="24"/>
              </w:rPr>
              <w:t>④</w:t>
            </w:r>
            <w:r>
              <w:rPr>
                <w:rFonts w:ascii="Times New Roman" w:hAnsi="Times New Roman" w:cs="Times New Roman"/>
                <w:sz w:val="24"/>
                <w:szCs w:val="24"/>
              </w:rPr>
              <w:t>现场有明火。只有以上四个条件同时具备时，才可能发生火灾和爆炸。根据调查，我国北京地区从上世纪五十年代起50多年来已经建立800多个油罐，至今尚未发生油罐的着火及爆炸事故，根据全国统计，储罐火灾及爆炸事故发生的概率远远低于3.1×10</w:t>
            </w:r>
            <w:r>
              <w:rPr>
                <w:rFonts w:ascii="Times New Roman" w:hAnsi="Times New Roman" w:cs="Times New Roman"/>
                <w:sz w:val="24"/>
                <w:szCs w:val="24"/>
                <w:vertAlign w:val="superscript"/>
              </w:rPr>
              <w:t>-5</w:t>
            </w:r>
            <w:r>
              <w:rPr>
                <w:rFonts w:ascii="Times New Roman" w:hAnsi="Times New Roman" w:cs="Times New Roman"/>
                <w:sz w:val="24"/>
                <w:szCs w:val="24"/>
              </w:rPr>
              <w:t>次/年。</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若本项目油品泄漏并引发火灾爆炸事故，由于汽油和柴油等为可燃液体，发生火灾爆炸时燃烧较充分，主要燃烧产物为CO</w:t>
            </w:r>
            <w:r>
              <w:rPr>
                <w:rFonts w:hint="eastAsia" w:ascii="Times New Roman" w:hAnsi="Times New Roman" w:cs="Times New Roman"/>
                <w:sz w:val="24"/>
                <w:szCs w:val="24"/>
                <w:vertAlign w:val="subscript"/>
              </w:rPr>
              <w:t>2</w:t>
            </w:r>
            <w:r>
              <w:rPr>
                <w:rFonts w:hint="eastAsia" w:ascii="Times New Roman" w:hAnsi="Times New Roman" w:cs="Times New Roman"/>
                <w:sz w:val="24"/>
                <w:szCs w:val="24"/>
              </w:rPr>
              <w:t>，在燃烧不充分时产生一定量的CO。燃烧过程产生的CO 量一般不会超过10%，由于火灾爆炸在开放的空间发生，即便产生CO，也会快速扩散，不会造成人员窒息影响。因此，项目若发生火灾和爆炸，在短时间内对项目站区将产生影响，对周边影响有限。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（2）油罐溢出、泄漏</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根据统计，储油罐可能发生溢出的原因如下：</w:t>
            </w:r>
            <w:r>
              <w:rPr>
                <w:rFonts w:hint="eastAsia" w:hAnsi="宋体" w:cs="宋体"/>
                <w:sz w:val="24"/>
                <w:szCs w:val="24"/>
              </w:rPr>
              <w:t>①</w:t>
            </w:r>
            <w:r>
              <w:rPr>
                <w:rFonts w:ascii="Times New Roman" w:hAnsi="Times New Roman" w:cs="Times New Roman"/>
                <w:sz w:val="24"/>
                <w:szCs w:val="24"/>
              </w:rPr>
              <w:t>油罐计量仪表失灵，致使油罐加油过程中灌满溢出；</w:t>
            </w:r>
            <w:r>
              <w:rPr>
                <w:rFonts w:hint="eastAsia" w:hAnsi="宋体" w:cs="宋体"/>
                <w:sz w:val="24"/>
                <w:szCs w:val="24"/>
              </w:rPr>
              <w:t>②</w:t>
            </w:r>
            <w:r>
              <w:rPr>
                <w:rFonts w:ascii="Times New Roman" w:hAnsi="Times New Roman" w:cs="Times New Roman"/>
                <w:sz w:val="24"/>
                <w:szCs w:val="24"/>
              </w:rPr>
              <w:t>在为储罐加油过程中，由于存在气障气阻，致使油类溢出；</w:t>
            </w:r>
            <w:r>
              <w:rPr>
                <w:rFonts w:hint="eastAsia" w:hAnsi="宋体" w:cs="宋体"/>
                <w:sz w:val="24"/>
                <w:szCs w:val="24"/>
              </w:rPr>
              <w:t>③</w:t>
            </w:r>
            <w:r>
              <w:rPr>
                <w:rFonts w:ascii="Times New Roman" w:hAnsi="Times New Roman" w:cs="Times New Roman"/>
                <w:sz w:val="24"/>
                <w:szCs w:val="24"/>
              </w:rPr>
              <w:t>在加油过程中，由于接口不同，衔接不严密，致使油类溢出。</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可能发生油罐泄漏的原因如下：</w:t>
            </w:r>
            <w:r>
              <w:rPr>
                <w:rFonts w:hint="eastAsia" w:hAnsi="宋体" w:cs="宋体"/>
                <w:sz w:val="24"/>
                <w:szCs w:val="24"/>
              </w:rPr>
              <w:t>①</w:t>
            </w:r>
            <w:r>
              <w:rPr>
                <w:rFonts w:ascii="Times New Roman" w:hAnsi="Times New Roman" w:cs="Times New Roman"/>
                <w:sz w:val="24"/>
                <w:szCs w:val="24"/>
              </w:rPr>
              <w:t>输油管路腐蚀致使油类泄漏；</w:t>
            </w:r>
            <w:r>
              <w:rPr>
                <w:rFonts w:hint="eastAsia" w:hAnsi="宋体" w:cs="宋体"/>
                <w:sz w:val="24"/>
                <w:szCs w:val="24"/>
              </w:rPr>
              <w:t>②</w:t>
            </w:r>
            <w:r>
              <w:rPr>
                <w:rFonts w:ascii="Times New Roman" w:hAnsi="Times New Roman" w:cs="Times New Roman"/>
                <w:sz w:val="24"/>
                <w:szCs w:val="24"/>
              </w:rPr>
              <w:t>在收发油过程中，由于操作失误，致使油类泄漏；</w:t>
            </w:r>
            <w:r>
              <w:rPr>
                <w:rFonts w:hint="eastAsia" w:hAnsi="宋体" w:cs="宋体"/>
                <w:sz w:val="24"/>
                <w:szCs w:val="24"/>
              </w:rPr>
              <w:t>③</w:t>
            </w:r>
            <w:r>
              <w:rPr>
                <w:rFonts w:ascii="Times New Roman" w:hAnsi="Times New Roman" w:cs="Times New Roman"/>
                <w:sz w:val="24"/>
                <w:szCs w:val="24"/>
              </w:rPr>
              <w:t>各个管道接口不严，致使跑、冒、滴、漏现象的发生。</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从前面两种事故分析来看，第一类事故出现的频率较低，但其危害性较大，一旦出现瞬间即可完成，并且很难进行补救和应急，其后果十分严重。本加油站采用卧式油罐埋地设置，根据《汽车加油加气站设计与施工规范》(GB50156-2012)，采用卧式油罐埋地设置比较安全。从国内外的有关调查资料统计来看，油罐埋地设置、发生火灾的几率很少。即使油罐发生着火，也容易扑救。例如，1987年2月4日，北京市和平里加油站油罐进油口着火，用干粉灭火器很快被扑灭，没有影响其它设施；1986年5月2日，郑州市人民路加油站的油罐入孔处着火、用干粉灭火器及时扑灭；广州、天津也曾发生过加油站埋地罐口着火情况，也都用干粉灭火器很快被扑灭，均没造成灾害。英国石油学会《销售安全规范》讲到，I类石油(即汽油类)只要储存在埋地罐内，就没有发生火灾的可能性。</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第二类事故的发生频率相对第一类事故要高一些，其发生带有明显的随机性和偶然性。这类事故的出现对环境的影响将会持续一定的时间，带来的后果也较为严重。本项目各输油管道与油罐都按照有关规范进行了设计与施工，并采取了有效的检测渗漏的设施，只要加强管理，按照行业操作规范作业，产生该类事故的几率也很小。</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2、事故原因分析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汽油、柴油虽然属于易燃性液体，但汽油、柴油的燃点很高，通常轻微的泄漏不会造成火灾、爆炸事故，在汽油、柴油的浓度达到爆炸极限时，才会遇火发生爆炸。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风险事故的成因是多方面的，其主要原因分为人为、设备、原料、环境和管理等几方面原因，现将各事故成因详细分述如下：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a：人为原因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造成事故的人为原因主要包括设计缺陷、设备选型或安装不当以及站内工作人员安全意识差、违规操作和工作警惕性不高、忽视报警系统警报或是警报系统故障等。</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b：设备原因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设备因素从施工到加油站的日常运营是多方面的：设备设计、选型、安装错误，不符合防火防爆要求；压力管道容器未按正确设计制造、施工，存在缺陷隐患；设备失修、维护不当，超负荷运行或带病运行；</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管线、加油机等接地不符合规定要求；电气设备不符合防爆要求；安全附件、报警装置、设备不当或失灵。</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c：材料原因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主要是汽油、柴油自身静电或气质有问题，存在事故隐患。</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d：环境因素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自然环境异常现象：雷电、地震、洪水、滑坡和土壤腐蚀等。地震发生后因地面震动、断层区土壤破坏及错动、震动及地面断裂等可能造成站场处理设备、管道的破坏，导致事故发生。根据土壤硬化性质对金属的腐蚀性可知，沼泽地、盐渍地、湿地为强腐蚀环境，其余为中度或弱腐蚀区。腐蚀会使管线壁厚减小甚至穿孔，容易引起爆裂。其他自然因素如雷电、洪水、滑坡等也可能诱发风险事故。不良工作环境：不适宜的温度、适度、震动等。与周围环境相关建筑不符合防火要求</w:t>
            </w:r>
            <w:r>
              <w:rPr>
                <w:rFonts w:hint="eastAsia" w:ascii="Times New Roman" w:hAnsi="Times New Roman" w:cs="Times New Roman"/>
                <w:sz w:val="24"/>
                <w:szCs w:val="24"/>
              </w:rPr>
              <w:t>等</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e：管理因素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一般是对职工培训工作不到位，安全防范教育不足，以及日常工作管理不严，指挥失职等。</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（四）</w:t>
            </w:r>
            <w:r>
              <w:rPr>
                <w:rFonts w:ascii="Times New Roman" w:hAnsi="Times New Roman" w:cs="Times New Roman"/>
                <w:b/>
                <w:sz w:val="24"/>
                <w:szCs w:val="24"/>
              </w:rPr>
              <w:t>事故影响分析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根据统计，储油罐可能发生溢出的原因如下：</w:t>
            </w:r>
            <w:r>
              <w:rPr>
                <w:rFonts w:hint="eastAsia" w:hAnsi="宋体" w:cs="宋体"/>
                <w:sz w:val="24"/>
                <w:szCs w:val="24"/>
              </w:rPr>
              <w:t>①</w:t>
            </w:r>
            <w:r>
              <w:rPr>
                <w:rFonts w:ascii="Times New Roman" w:hAnsi="Times New Roman" w:cs="Times New Roman"/>
                <w:sz w:val="24"/>
                <w:szCs w:val="24"/>
              </w:rPr>
              <w:t>油罐计量仪表失灵，致使油罐加油过程中灌满溢出；</w:t>
            </w:r>
            <w:r>
              <w:rPr>
                <w:rFonts w:hint="eastAsia" w:hAnsi="宋体" w:cs="宋体"/>
                <w:sz w:val="24"/>
                <w:szCs w:val="24"/>
              </w:rPr>
              <w:t>②</w:t>
            </w:r>
            <w:r>
              <w:rPr>
                <w:rFonts w:ascii="Times New Roman" w:hAnsi="Times New Roman" w:cs="Times New Roman"/>
                <w:sz w:val="24"/>
                <w:szCs w:val="24"/>
              </w:rPr>
              <w:t>在为储罐加油过程中，由于存在气障气阻，致使油类溢出；</w:t>
            </w:r>
            <w:r>
              <w:rPr>
                <w:rFonts w:hint="eastAsia" w:hAnsi="宋体" w:cs="宋体"/>
                <w:sz w:val="24"/>
                <w:szCs w:val="24"/>
              </w:rPr>
              <w:t>③</w:t>
            </w:r>
            <w:r>
              <w:rPr>
                <w:rFonts w:ascii="Times New Roman" w:hAnsi="Times New Roman" w:cs="Times New Roman"/>
                <w:sz w:val="24"/>
                <w:szCs w:val="24"/>
              </w:rPr>
              <w:t>在加油过程中，由于接口不同，衔接不严密，致使油类溢出。</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可能发生油罐泄漏的原因如下：</w:t>
            </w:r>
            <w:r>
              <w:rPr>
                <w:rFonts w:hint="eastAsia" w:hAnsi="宋体" w:cs="宋体"/>
                <w:sz w:val="24"/>
                <w:szCs w:val="24"/>
              </w:rPr>
              <w:t>①</w:t>
            </w:r>
            <w:r>
              <w:rPr>
                <w:rFonts w:ascii="Times New Roman" w:hAnsi="Times New Roman" w:cs="Times New Roman"/>
                <w:sz w:val="24"/>
                <w:szCs w:val="24"/>
              </w:rPr>
              <w:t>输油管路腐蚀致使油类泄漏；</w:t>
            </w:r>
            <w:r>
              <w:rPr>
                <w:rFonts w:hint="eastAsia" w:hAnsi="宋体" w:cs="宋体"/>
                <w:sz w:val="24"/>
                <w:szCs w:val="24"/>
              </w:rPr>
              <w:t>②</w:t>
            </w:r>
            <w:r>
              <w:rPr>
                <w:rFonts w:ascii="Times New Roman" w:hAnsi="Times New Roman" w:cs="Times New Roman"/>
                <w:sz w:val="24"/>
                <w:szCs w:val="24"/>
              </w:rPr>
              <w:t>在收发油过程中，由于操作失误，致使油类泄漏；</w:t>
            </w:r>
            <w:r>
              <w:rPr>
                <w:rFonts w:hint="eastAsia" w:hAnsi="宋体" w:cs="宋体"/>
                <w:sz w:val="24"/>
                <w:szCs w:val="24"/>
              </w:rPr>
              <w:t>③</w:t>
            </w:r>
            <w:r>
              <w:rPr>
                <w:rFonts w:ascii="Times New Roman" w:hAnsi="Times New Roman" w:cs="Times New Roman"/>
                <w:sz w:val="24"/>
                <w:szCs w:val="24"/>
              </w:rPr>
              <w:t>各个管道接口不严，致使跑、冒、滴、漏现象的发生。</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加油站采用卧式油罐埋地设置，根据《汽车加油加气站设计与施工规范》（GB50156-2012），采用卧式油罐埋地设置比较安全。从国内外的有关调查资料统计来看，油罐埋地设置、发生火灾的几率很少。即使油罐发生着火，也容易扑救。本项目各输油管道与油罐都按照有关规范进行了设计与施工，并采取了有效的检测渗漏的设施，只要加强管理，按照行业操作规范作业，产生该类事故的几率也很小。</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由于本项目的油罐埋于地下。因此本环评将主要就油罐溢出、泄漏事故</w:t>
            </w:r>
            <w:r>
              <w:rPr>
                <w:rFonts w:hint="eastAsia" w:ascii="Times New Roman" w:hAnsi="Times New Roman" w:cs="Times New Roman"/>
                <w:sz w:val="24"/>
                <w:szCs w:val="24"/>
              </w:rPr>
              <w:t>、火灾爆炸事故</w:t>
            </w:r>
            <w:r>
              <w:rPr>
                <w:rFonts w:ascii="Times New Roman" w:hAnsi="Times New Roman" w:cs="Times New Roman"/>
                <w:sz w:val="24"/>
                <w:szCs w:val="24"/>
              </w:rPr>
              <w:t>对环境的影响进行阐述。</w:t>
            </w:r>
          </w:p>
          <w:p>
            <w:pPr>
              <w:pStyle w:val="13"/>
              <w:ind w:firstLine="480" w:firstLineChars="200"/>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对地表水的污染</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泄漏或渗漏的成品油一旦进入地表水，将造成地表水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C4～C9的烃类、芳烃类、醇酮类以及卤代烃类有机物，一旦进入水环境，由于可生化性较差，造成被污染水体长时间得不到净化，完全恢复则需十几年、甚至几十年的时间。</w:t>
            </w:r>
          </w:p>
          <w:p>
            <w:pPr>
              <w:pStyle w:val="13"/>
              <w:ind w:firstLine="480" w:firstLineChars="200"/>
              <w:rPr>
                <w:rFonts w:ascii="Times New Roman" w:hAnsi="Times New Roman" w:cs="Times New Roman"/>
                <w:color w:val="FF0000"/>
                <w:sz w:val="24"/>
                <w:szCs w:val="24"/>
              </w:rPr>
            </w:pPr>
            <w:r>
              <w:rPr>
                <w:rFonts w:hint="eastAsia" w:ascii="Times New Roman" w:hAnsi="Times New Roman" w:cs="Times New Roman"/>
                <w:sz w:val="24"/>
                <w:szCs w:val="24"/>
              </w:rPr>
              <w:t>本项目所在区域主要的地表水体为沂南河，位于本项目北侧450m处。当加油站一旦发生渗漏与溢出事故时，油品将积聚在油罐区，不会溢出油罐区，建设单位应及时启动突发环境事件应急预案，采用吸油毡、沙袋、收油机等设施设备处置泄漏油品，避免进入外环境。通过及时采取突发环境事件风险防范措施，不会对</w:t>
            </w:r>
            <w:r>
              <w:rPr>
                <w:rFonts w:ascii="Times New Roman" w:hAnsi="Times New Roman" w:cs="Times New Roman"/>
                <w:sz w:val="24"/>
                <w:szCs w:val="24"/>
              </w:rPr>
              <w:t>地表水体</w:t>
            </w:r>
            <w:r>
              <w:rPr>
                <w:rFonts w:hint="eastAsia" w:ascii="Times New Roman" w:hAnsi="Times New Roman" w:cs="Times New Roman"/>
                <w:sz w:val="24"/>
                <w:szCs w:val="24"/>
              </w:rPr>
              <w:t>造成影响</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对地下水的污染</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储油罐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项目采用玻璃钢防腐防渗技术，对储油罐内外表面、防油堤的内表面、油罐区地面、输油管线外表面均做了防渗防腐处理，加油站一旦发生溢出与渗漏事故，油品将由于防渗层的保护作用，积聚在储油区，对地下水不会造成影响。</w:t>
            </w:r>
          </w:p>
          <w:p>
            <w:pPr>
              <w:pStyle w:val="13"/>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对大气环境的污染</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根据国内外的研究，对于突发性的事故溢油，油品溢出后在地面呈不规则的面源分布，油品的挥发速度重要影响因素为油品蒸汽压、现场风速、油品溢出面积、油品蒸汽分子平均重度。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项目采用地埋式储油罐工艺，加油站一旦发生渗漏与溢出事故时，由于本项目采取了防渗漏检查孔等渗漏溢出检测设施，因此可及时发现储油罐渗漏，油品渗漏量较小，再由于受储油罐罐基及防渗层的保护，渗漏出的成品油将积聚在储油区。</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储油区表面采用了混凝土硬化，较为密闭，油品将主要通过储油区通气管及入孔井非密封处挥发，不会造成大面积的扩散，对大气环境影响较小。</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 4 \* GB3</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④</w:t>
            </w:r>
            <w:r>
              <w:rPr>
                <w:rFonts w:ascii="Times New Roman" w:hAnsi="Times New Roman" w:cs="Times New Roman"/>
                <w:sz w:val="24"/>
                <w:szCs w:val="24"/>
              </w:rPr>
              <w:fldChar w:fldCharType="end"/>
            </w:r>
            <w:r>
              <w:rPr>
                <w:rFonts w:hint="eastAsia" w:ascii="Times New Roman" w:hAnsi="Times New Roman" w:cs="Times New Roman"/>
                <w:sz w:val="24"/>
                <w:szCs w:val="24"/>
              </w:rPr>
              <w:t>火灾爆炸事故后果分析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油品泄漏后一旦发生火灾爆炸事故，除直接伤害外，燃烧过程次生的CO会对油罐区域、现场工作人员和过往车辆产生危害。为了避免发生连锁事故，将事故的影响降低到最小程度，加油站的设计必须符合加油站设计规范中的相关规定，完善防火措施，并且在发生火灾时必须采取有效的控制措施。</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（五）</w:t>
            </w:r>
            <w:r>
              <w:rPr>
                <w:rFonts w:ascii="Times New Roman" w:hAnsi="Times New Roman" w:cs="Times New Roman"/>
                <w:b/>
                <w:sz w:val="24"/>
                <w:szCs w:val="24"/>
              </w:rPr>
              <w:t>环境风险防范措施</w:t>
            </w:r>
            <w:r>
              <w:rPr>
                <w:rFonts w:hint="eastAsia" w:ascii="Times New Roman" w:hAnsi="Times New Roman" w:cs="Times New Roman"/>
                <w:b/>
                <w:sz w:val="24"/>
                <w:szCs w:val="24"/>
              </w:rPr>
              <w:t>及应急要求</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针对本项目风险源、环境影响途径、环境敏感目标等方面的特点，要求建设单位做好以下风险防范措施：</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a.储油罐采用双层结构，内钢外玻璃纤维增强塑料双层油罐，夹层中设漏油探测器。当发生漏油时，探测器报警，并切断油路；</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b.应按要求设置沙袋、吸油毡等物资。发生泄漏事故，加油站停业，关闭总电源，向总公司报告。组织力量对水封井、排水沟检查，如有油污用沙袋、吸油毡等处理；突发环境事故产生的油沙、含油手套、抹布等属于危废，在事故后应及时委托有资质单位处置；</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c.生产中使用满足工艺要求的设备、管道，并定期检修、防腐，员工规范操作，杜绝物料的“跑、冒、滴、漏”；生产中使用的设备、管道配置了准确的监控仪表和完善的安全附件、防雷、防静电设施；</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d.储油油罐均设通气管，其通气口配阻火帽。</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e.站内配备干粉灭火器、灭火毯和黄沙并设置醒目禁火标志；一旦发生火灾，立即用黄沙、、灭火毯、灭火器等予以扑灭；</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f.在设计时考虑了抗震和振动、脆性破裂、温度应力、腐蚀破裂及密封泄漏等因素，并采取相应的安全措施加以控制；</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g.储罐及加油区域全部电器有防爆措施，同时禁止使用明火，需采取防止静电累积、静电接地措施，并安装可燃气体探测仪。</w:t>
            </w:r>
            <w:r>
              <w:rPr>
                <w:rFonts w:ascii="Times New Roman" w:hAnsi="Times New Roman" w:cs="Times New Roman"/>
                <w:sz w:val="24"/>
                <w:szCs w:val="24"/>
              </w:rPr>
              <w:t>在管沟敷设油品管道的始端、末端和分支处，设置防静电和防感应雷的联合接地装置；油罐安装高低液位报警器，减少管线接口，油罐的进出口管道采用软管连接等。</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h.</w:t>
            </w:r>
            <w:r>
              <w:rPr>
                <w:rFonts w:ascii="Times New Roman" w:hAnsi="Times New Roman" w:cs="Times New Roman"/>
                <w:sz w:val="24"/>
                <w:szCs w:val="24"/>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i.</w:t>
            </w:r>
            <w:r>
              <w:rPr>
                <w:rFonts w:ascii="Times New Roman" w:hAnsi="Times New Roman" w:cs="Times New Roman"/>
                <w:sz w:val="24"/>
                <w:szCs w:val="24"/>
              </w:rPr>
              <w:t>加强技术培训，提高职工安全意识，加油区域禁止烟火和禁止拨打手机，并设立明显的宣传标牌。</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j.</w:t>
            </w:r>
            <w:r>
              <w:rPr>
                <w:rFonts w:ascii="Times New Roman" w:hAnsi="Times New Roman" w:cs="Times New Roman"/>
                <w:sz w:val="24"/>
                <w:szCs w:val="24"/>
              </w:rPr>
              <w:t>对各类贮存容器、机电装置、安全设施、消防器材等，进行各种日常的、定期的、专业的防火安全检查，并将发现的问题落实到人、限期落实整改。建立夜间值班巡查制度、火险报告制度、安全奖惩制度等。</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k.</w:t>
            </w:r>
            <w:r>
              <w:rPr>
                <w:rFonts w:ascii="Times New Roman" w:hAnsi="Times New Roman" w:cs="Times New Roman"/>
                <w:sz w:val="24"/>
                <w:szCs w:val="24"/>
              </w:rPr>
              <w:t>突发环境风险应急预案，是发生事故时应急救援工作的重要组成部分，对防止事故发生、发生事故后有效控制事故、最大限度减少事故造成的损失，有积极意义。</w:t>
            </w:r>
            <w:r>
              <w:rPr>
                <w:rFonts w:hint="eastAsia" w:ascii="Times New Roman" w:hAnsi="Times New Roman" w:cs="Times New Roman"/>
                <w:sz w:val="24"/>
                <w:szCs w:val="24"/>
              </w:rPr>
              <w:t>建设单位应在环保自主竣工验收前完成突发环境事件风险评估及应急预案的编制工作，及时向生态环境主管部门备案。</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l.如发生突发环境风险事故，应按照</w:t>
            </w:r>
            <w:r>
              <w:rPr>
                <w:rFonts w:ascii="Times New Roman" w:hAnsi="Times New Roman" w:cs="Times New Roman"/>
                <w:sz w:val="24"/>
                <w:szCs w:val="24"/>
              </w:rPr>
              <w:t>应急预案组织抢险队和救护队</w:t>
            </w:r>
            <w:r>
              <w:rPr>
                <w:rFonts w:hint="eastAsia" w:ascii="Times New Roman" w:hAnsi="Times New Roman" w:cs="Times New Roman"/>
                <w:sz w:val="24"/>
                <w:szCs w:val="24"/>
              </w:rPr>
              <w:t>：</w:t>
            </w:r>
            <w:r>
              <w:rPr>
                <w:rFonts w:hint="eastAsia" w:hAnsi="宋体" w:cs="宋体"/>
                <w:sz w:val="24"/>
                <w:szCs w:val="24"/>
              </w:rPr>
              <w:t>①</w:t>
            </w:r>
            <w:r>
              <w:rPr>
                <w:rFonts w:ascii="Times New Roman" w:hAnsi="Times New Roman" w:cs="Times New Roman"/>
                <w:sz w:val="24"/>
                <w:szCs w:val="24"/>
              </w:rPr>
              <w:t>当发生火灾事故、油品大量跑冒（泄漏）时，所有员工必须执行紧急疏散、撤离命令，设立警戒区域；</w:t>
            </w:r>
            <w:r>
              <w:rPr>
                <w:rFonts w:hint="eastAsia" w:hAnsi="宋体" w:cs="宋体"/>
                <w:sz w:val="24"/>
                <w:szCs w:val="24"/>
              </w:rPr>
              <w:t>②</w:t>
            </w:r>
            <w:r>
              <w:rPr>
                <w:rFonts w:ascii="Times New Roman" w:hAnsi="Times New Roman" w:cs="Times New Roman"/>
                <w:sz w:val="24"/>
                <w:szCs w:val="24"/>
              </w:rPr>
              <w:t>立即将事故简要报告上级主管领导、生产指挥系统，通知当地公安、消防部门加强防范措施；</w:t>
            </w:r>
            <w:r>
              <w:rPr>
                <w:rFonts w:hint="eastAsia" w:hAnsi="宋体" w:cs="宋体"/>
                <w:sz w:val="24"/>
                <w:szCs w:val="24"/>
              </w:rPr>
              <w:t>③</w:t>
            </w:r>
            <w:r>
              <w:rPr>
                <w:rFonts w:ascii="Times New Roman" w:hAnsi="Times New Roman" w:cs="Times New Roman"/>
                <w:sz w:val="24"/>
                <w:szCs w:val="24"/>
              </w:rPr>
              <w:t>发生火灾爆炸事故时，能自行扑灭火情的可自行利用现有灭火器材进行灭火，无法自行扑灭的，立即拨打消防电话，等待专业消防队伍进行灭火；</w:t>
            </w:r>
            <w:r>
              <w:rPr>
                <w:rFonts w:hint="eastAsia" w:hAnsi="宋体" w:cs="宋体"/>
                <w:sz w:val="24"/>
                <w:szCs w:val="24"/>
              </w:rPr>
              <w:t>④</w:t>
            </w:r>
            <w:r>
              <w:rPr>
                <w:rFonts w:ascii="Times New Roman" w:hAnsi="Times New Roman" w:cs="Times New Roman"/>
                <w:sz w:val="24"/>
                <w:szCs w:val="24"/>
              </w:rPr>
              <w:t>由于项目周边存在居民区</w:t>
            </w:r>
            <w:r>
              <w:rPr>
                <w:rFonts w:hint="eastAsia" w:ascii="Times New Roman" w:hAnsi="Times New Roman" w:cs="Times New Roman"/>
                <w:sz w:val="24"/>
                <w:szCs w:val="24"/>
              </w:rPr>
              <w:t>、学校等敏感目标</w:t>
            </w:r>
            <w:r>
              <w:rPr>
                <w:rFonts w:ascii="Times New Roman" w:hAnsi="Times New Roman" w:cs="Times New Roman"/>
                <w:sz w:val="24"/>
                <w:szCs w:val="24"/>
              </w:rPr>
              <w:t>，因此，在发生火灾爆炸或者油品泄漏事故时，应及时通知</w:t>
            </w:r>
            <w:r>
              <w:rPr>
                <w:rFonts w:hint="eastAsia" w:ascii="Times New Roman" w:hAnsi="Times New Roman" w:cs="Times New Roman"/>
                <w:sz w:val="24"/>
                <w:szCs w:val="24"/>
              </w:rPr>
              <w:t>周边</w:t>
            </w:r>
            <w:r>
              <w:rPr>
                <w:rFonts w:ascii="Times New Roman" w:hAnsi="Times New Roman" w:cs="Times New Roman"/>
                <w:sz w:val="24"/>
                <w:szCs w:val="24"/>
              </w:rPr>
              <w:t>群众有序疏散，防止事故影响波及周边群众。</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（六）环境风险分析结论</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pStyle w:val="13"/>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表7-24 建设项目环境风险简单分析内容表</w:t>
            </w:r>
          </w:p>
          <w:tbl>
            <w:tblPr>
              <w:tblStyle w:val="110"/>
              <w:tblW w:w="90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84"/>
              <w:gridCol w:w="1562"/>
              <w:gridCol w:w="1701"/>
              <w:gridCol w:w="1276"/>
              <w:gridCol w:w="586"/>
              <w:gridCol w:w="690"/>
              <w:gridCol w:w="10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建设项目名称</w:t>
                  </w:r>
                </w:p>
              </w:tc>
              <w:tc>
                <w:tcPr>
                  <w:tcW w:w="6856" w:type="dxa"/>
                  <w:gridSpan w:val="6"/>
                  <w:tcBorders>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沭阳县青岛路加油站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建设地点</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沭阳县青岛路北侧民政局老年公寓东侧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地理坐标</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color w:val="FF0000"/>
                      <w:sz w:val="21"/>
                      <w:szCs w:val="21"/>
                      <w:lang w:eastAsia="en-US"/>
                    </w:rPr>
                  </w:pPr>
                  <w:r>
                    <w:rPr>
                      <w:rFonts w:eastAsia="宋体" w:asciiTheme="minorHAnsi" w:hAnsiTheme="minorHAnsi" w:cstheme="minorBidi"/>
                      <w:sz w:val="21"/>
                      <w:szCs w:val="21"/>
                      <w:lang w:eastAsia="en-US"/>
                    </w:rPr>
                    <w:t>经度：</w:t>
                  </w:r>
                  <w:r>
                    <w:rPr>
                      <w:rFonts w:hint="eastAsia" w:eastAsia="宋体" w:asciiTheme="minorHAnsi" w:hAnsiTheme="minorHAnsi" w:cstheme="minorBidi"/>
                      <w:sz w:val="21"/>
                      <w:szCs w:val="21"/>
                      <w:lang w:eastAsia="en-US"/>
                    </w:rPr>
                    <w:t>118.774203</w:t>
                  </w:r>
                  <w:r>
                    <w:rPr>
                      <w:rFonts w:eastAsia="宋体" w:asciiTheme="minorHAnsi" w:hAnsiTheme="minorHAnsi" w:cstheme="minorBidi"/>
                      <w:sz w:val="21"/>
                      <w:szCs w:val="21"/>
                      <w:lang w:eastAsia="en-US"/>
                    </w:rPr>
                    <w:t xml:space="preserve"> 纬度：</w:t>
                  </w:r>
                  <w:r>
                    <w:rPr>
                      <w:rFonts w:hint="eastAsia" w:eastAsia="宋体" w:asciiTheme="minorHAnsi" w:hAnsiTheme="minorHAnsi" w:cstheme="minorBidi"/>
                      <w:sz w:val="21"/>
                      <w:szCs w:val="21"/>
                      <w:lang w:eastAsia="en-US"/>
                    </w:rPr>
                    <w:t>34.140056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000000"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主要危险物质及分布</w:t>
                  </w:r>
                </w:p>
              </w:tc>
              <w:tc>
                <w:tcPr>
                  <w:tcW w:w="1562"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物质名称</w:t>
                  </w:r>
                </w:p>
              </w:tc>
              <w:tc>
                <w:tcPr>
                  <w:tcW w:w="1701"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贮存位置</w:t>
                  </w:r>
                </w:p>
              </w:tc>
              <w:tc>
                <w:tcPr>
                  <w:tcW w:w="1862" w:type="dxa"/>
                  <w:gridSpan w:val="2"/>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贮存方式</w:t>
                  </w:r>
                </w:p>
              </w:tc>
              <w:tc>
                <w:tcPr>
                  <w:tcW w:w="1731" w:type="dxa"/>
                  <w:gridSpan w:val="2"/>
                  <w:tcBorders>
                    <w:top w:val="single" w:color="000000"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最大贮存量(t)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汽油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Pr>
                      <w:rFonts w:hint="eastAsia" w:ascii="Times New Roman" w:hAnsi="Times New Roman" w:cs="Times New Roman"/>
                      <w:sz w:val="24"/>
                      <w:szCs w:val="24"/>
                      <w:lang w:eastAsia="zh-CN"/>
                    </w:rPr>
                    <w:t>53.375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柴油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Pr>
                      <w:rFonts w:hint="eastAsia" w:ascii="Times New Roman" w:hAnsi="Times New Roman" w:cs="Times New Roman"/>
                      <w:sz w:val="24"/>
                      <w:szCs w:val="24"/>
                      <w:lang w:eastAsia="zh-CN"/>
                    </w:rPr>
                    <w:t>23.76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环境影响途径及危害后果（大气、地表水、地下水等）</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风险源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主要危险物质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环境风险类型</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影响途径</w:t>
                  </w:r>
                </w:p>
              </w:tc>
              <w:tc>
                <w:tcPr>
                  <w:tcW w:w="1041" w:type="dxa"/>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危害后果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埋地储罐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泄漏、渗漏</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土壤、地下水</w:t>
                  </w:r>
                </w:p>
              </w:tc>
              <w:tc>
                <w:tcPr>
                  <w:tcW w:w="1041" w:type="dxa"/>
                  <w:vMerge w:val="restart"/>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环境污染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加油机、卸油区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泄漏、火灾CO次</w:t>
                  </w:r>
                  <w:r>
                    <w:rPr>
                      <w:rFonts w:eastAsia="宋体" w:asciiTheme="minorHAnsi" w:hAnsiTheme="minorHAnsi" w:cstheme="minorBidi"/>
                      <w:sz w:val="21"/>
                      <w:szCs w:val="21"/>
                      <w:lang w:eastAsia="en-US"/>
                    </w:rPr>
                    <w:t>/</w:t>
                  </w:r>
                  <w:r>
                    <w:rPr>
                      <w:rFonts w:hint="eastAsia" w:eastAsia="宋体" w:asciiTheme="minorHAnsi" w:hAnsiTheme="minorHAnsi" w:cstheme="minorBidi"/>
                      <w:sz w:val="21"/>
                      <w:szCs w:val="21"/>
                      <w:lang w:eastAsia="en-US"/>
                    </w:rPr>
                    <w:t>伴生</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大气</w:t>
                  </w:r>
                </w:p>
              </w:tc>
              <w:tc>
                <w:tcPr>
                  <w:tcW w:w="1041" w:type="dxa"/>
                  <w:vMerge w:val="continue"/>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auto" w:sz="4" w:space="0"/>
                    <w:bottom w:val="single" w:color="000000"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风险防范措施要求</w:t>
                  </w:r>
                </w:p>
              </w:tc>
              <w:tc>
                <w:tcPr>
                  <w:tcW w:w="6856" w:type="dxa"/>
                  <w:gridSpan w:val="6"/>
                  <w:tcBorders>
                    <w:top w:val="single" w:color="auto" w:sz="4" w:space="0"/>
                    <w:left w:val="single" w:color="auto" w:sz="4" w:space="0"/>
                    <w:bottom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a.储油罐采用双层结构，内钢外玻璃纤维增强塑料双层油罐，夹层中设漏油探测器。当发生漏油时，探测器报警，并切断油路；</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b.应按要求设置沙袋、吸油毡等物资。发生泄漏事故，加油站停业，关闭总电源，向总公司报告。组织力量对水封井、排水沟检查，如有油污用沙袋、吸油毡等处理；</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c.生产中使用满足工艺要求的设备、管道，并定期检修、防腐，员工规范操作，杜绝物料的“跑、冒、滴、漏”；生产中使用的设备、管道配置了准确的监控仪表和完善的安全附件、防雷、防静电设施；</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d.储油油罐均设通气管，其通气口配阻火帽。</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e.站内配备干粉灭火器、灭火毯和黄沙并设置醒目禁火标志；一旦发生火灾，立即用黄沙、、灭火毯、灭火器等予以扑灭；</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f.在设计时考虑了抗震和振动、脆性破裂、温度应力、腐蚀破裂及密封泄漏等因素，并采取相应的安全措施加以控制；</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g.储罐及加油区域全部电器有防爆措施，同时禁止使用明火，需采取防止静电累积、静电接地措施，并安装可燃气体探测仪。</w:t>
                  </w:r>
                  <w:r>
                    <w:rPr>
                      <w:rFonts w:eastAsia="宋体" w:asciiTheme="minorHAnsi" w:hAnsiTheme="minorHAnsi" w:cstheme="minorBidi"/>
                      <w:sz w:val="21"/>
                      <w:szCs w:val="21"/>
                      <w:lang w:eastAsia="en-US"/>
                    </w:rPr>
                    <w:t>在管沟敷设油品管道的始端、末端和分支处，设置防静电和防感应雷的联合接地装置；油罐安装高低液位报警器，减少管线接口，油罐的进出口管道采用软管连接等。</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h.</w:t>
                  </w:r>
                  <w:r>
                    <w:rPr>
                      <w:rFonts w:eastAsia="宋体" w:asciiTheme="minorHAnsi" w:hAnsiTheme="minorHAnsi" w:cstheme="minorBidi"/>
                      <w:sz w:val="21"/>
                      <w:szCs w:val="21"/>
                      <w:lang w:eastAsia="en-US"/>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i.</w:t>
                  </w:r>
                  <w:r>
                    <w:rPr>
                      <w:rFonts w:eastAsia="宋体" w:asciiTheme="minorHAnsi" w:hAnsiTheme="minorHAnsi" w:cstheme="minorBidi"/>
                      <w:sz w:val="21"/>
                      <w:szCs w:val="21"/>
                      <w:lang w:eastAsia="en-US"/>
                    </w:rPr>
                    <w:t>加强技术培训，提高职工安全意识，加油区域禁止烟火和禁止拨打手机，并设立明显的宣传标牌。</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j.</w:t>
                  </w:r>
                  <w:r>
                    <w:rPr>
                      <w:rFonts w:eastAsia="宋体" w:asciiTheme="minorHAnsi" w:hAnsiTheme="minorHAnsi" w:cstheme="minorBidi"/>
                      <w:sz w:val="21"/>
                      <w:szCs w:val="21"/>
                      <w:lang w:eastAsia="en-US"/>
                    </w:rPr>
                    <w:t>对各类贮存容器、机电装置、安全设施、消防器材等，进行各种日常的、定期的、专业的防火安全检查，并将发现的问题落实到人、限期落实整改。建立夜间值班巡查制度、火险报告制度、安全奖惩制度等。</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k.建设单位应在环保自主竣工验收前完成突发环境事件风险评估及应急预案的编制工作，及时向生态环境主管部门备案。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填表说明（列出项目相关信息及评价说明）</w:t>
                  </w:r>
                </w:p>
              </w:tc>
              <w:tc>
                <w:tcPr>
                  <w:tcW w:w="6856" w:type="dxa"/>
                  <w:gridSpan w:val="6"/>
                  <w:tcBorders>
                    <w:top w:val="single" w:color="000000" w:sz="4" w:space="0"/>
                    <w:left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通过上述分析，企业在确保环境风险防范措施和应急预案落实的条件下，项目选址和建设从环境风险的角度是可以接受的，本项目的环境风险可防控。</w:t>
                  </w:r>
                </w:p>
              </w:tc>
            </w:tr>
          </w:tbl>
          <w:p>
            <w:pPr>
              <w:pStyle w:val="13"/>
              <w:ind w:firstLine="480" w:firstLineChars="200"/>
              <w:rPr>
                <w:rFonts w:ascii="Times New Roman" w:hAnsi="Times New Roman" w:cs="Times New Roman"/>
                <w:sz w:val="24"/>
                <w:szCs w:val="24"/>
              </w:rPr>
            </w:pPr>
          </w:p>
          <w:p>
            <w:pPr>
              <w:widowControl w:val="0"/>
              <w:snapToGrid w:val="0"/>
              <w:jc w:val="both"/>
              <w:rPr>
                <w:rFonts w:eastAsia="宋体"/>
                <w:b/>
                <w:sz w:val="24"/>
                <w:szCs w:val="24"/>
              </w:rPr>
            </w:pPr>
            <w:r>
              <w:rPr>
                <w:rFonts w:hint="eastAsia" w:eastAsia="宋体"/>
                <w:b/>
                <w:sz w:val="24"/>
                <w:szCs w:val="24"/>
              </w:rPr>
              <w:t>7.3</w:t>
            </w:r>
            <w:r>
              <w:rPr>
                <w:rFonts w:eastAsia="宋体"/>
                <w:b/>
                <w:sz w:val="24"/>
                <w:szCs w:val="24"/>
              </w:rPr>
              <w:t>环境管理与监测</w:t>
            </w:r>
            <w:r>
              <w:rPr>
                <w:rFonts w:hint="eastAsia" w:eastAsia="宋体"/>
                <w:b/>
                <w:sz w:val="24"/>
                <w:szCs w:val="24"/>
              </w:rPr>
              <w:t>计划</w:t>
            </w:r>
          </w:p>
          <w:p>
            <w:pPr>
              <w:ind w:firstLine="482" w:firstLineChars="200"/>
              <w:rPr>
                <w:rFonts w:eastAsia="宋体"/>
                <w:b/>
                <w:sz w:val="24"/>
                <w:szCs w:val="24"/>
              </w:rPr>
            </w:pPr>
            <w:r>
              <w:rPr>
                <w:rFonts w:hint="eastAsia" w:eastAsia="宋体"/>
                <w:b/>
                <w:sz w:val="24"/>
                <w:szCs w:val="24"/>
              </w:rPr>
              <w:t>7.3.1环境管理要求</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1、环境保护责任主体与环境影响考核点</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本项目环境保护责任主体为</w:t>
            </w:r>
            <w:r>
              <w:rPr>
                <w:rFonts w:hint="eastAsia" w:ascii="Times New Roman" w:hAnsi="Times New Roman" w:cs="Times New Roman"/>
                <w:sz w:val="24"/>
                <w:szCs w:val="24"/>
              </w:rPr>
              <w:t>运营单位中国石油天然气股份有限公司江苏宿迁沭阳县青岛路加油站</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环境噪声影响考核点为本项目厂界外1m</w:t>
            </w:r>
            <w:r>
              <w:rPr>
                <w:rFonts w:hint="eastAsia"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水环境影响考核点为</w:t>
            </w:r>
            <w:r>
              <w:rPr>
                <w:rFonts w:hint="eastAsia" w:ascii="Times New Roman" w:hAnsi="Times New Roman" w:cs="Times New Roman"/>
                <w:sz w:val="24"/>
                <w:szCs w:val="24"/>
              </w:rPr>
              <w:t>加油站排水口；</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大气环境影响考核点为</w:t>
            </w:r>
            <w:r>
              <w:rPr>
                <w:rFonts w:hint="eastAsia" w:ascii="Times New Roman" w:hAnsi="Times New Roman" w:cs="Times New Roman"/>
                <w:sz w:val="24"/>
                <w:szCs w:val="24"/>
              </w:rPr>
              <w:t>加油站</w:t>
            </w:r>
            <w:r>
              <w:rPr>
                <w:rFonts w:ascii="Times New Roman" w:hAnsi="Times New Roman" w:cs="Times New Roman"/>
                <w:sz w:val="24"/>
                <w:szCs w:val="24"/>
              </w:rPr>
              <w:t>厂界</w:t>
            </w:r>
            <w:r>
              <w:rPr>
                <w:rFonts w:hint="eastAsia" w:ascii="Times New Roman" w:hAnsi="Times New Roman" w:cs="Times New Roman"/>
                <w:sz w:val="24"/>
                <w:szCs w:val="24"/>
              </w:rPr>
              <w:t>外1m</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2、环境管理</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为了减少和缓解建设项目运行对环境造成的影响，建设单位需建立负有职责的环保管理机制，制订环境管理计划。</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（1）环境管理机构</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建设单位将设立环境管理部门，并配备环保管理人员。环境管理部门主要职能是负责全公司的环境、安全监督管理工作，确保环保设施的正常运行制定各环保设施的操作规程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（2）环境管理内容</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公司在生产管理中制定的主要环境管理内容和实行的环境管理情况如下：</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①</w:t>
            </w:r>
            <w:r>
              <w:rPr>
                <w:rFonts w:ascii="Times New Roman" w:hAnsi="Times New Roman" w:cs="Times New Roman"/>
                <w:sz w:val="24"/>
                <w:szCs w:val="24"/>
              </w:rPr>
              <w:t>环境教育制度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遵守国家及地方的有关环保方针政策、法令和条例，作好环境教育和技术培训，提高公司员工的环保意识和技术水平，提高污染防治的责任心。对企业员工定期进行环保培训，提高全体员工的安全和环境保护意识。</w:t>
            </w:r>
          </w:p>
          <w:p>
            <w:pPr>
              <w:pStyle w:val="13"/>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环境管理制度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项目建成后，必须确保污染处理设施长期、稳定、有效地运行，不得擅自拆除或者闲置环保设备。要建立岗位责任制、制定操作规程、建立管理台帐，对油罐的运行情况进行日常记录。协同有关环境保护主管部门组织落实“三同时”，参与有关方案的审定及竣工验收。</w:t>
            </w:r>
          </w:p>
          <w:p>
            <w:pPr>
              <w:pStyle w:val="13"/>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环境保护责任制度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建设单位应建立环境保护责任制度，明确单位负责人和相关人员的环境保护责任，不断提高污染治理和环境管理水平，自觉接受监督检查。</w:t>
            </w:r>
          </w:p>
          <w:p>
            <w:pPr>
              <w:pStyle w:val="13"/>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环境监测制度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建设单位应依法开展自行监测，制定监测计划，安装或使用监测设备应符合国家有关环境监测、计量认证规定和技术规范，保障数据合法有效，保证设备正常运行，妥善保存原始记录，建立准确完整的环境管理台账，安装在线监测设备应与环境保护部门联网。</w:t>
            </w:r>
          </w:p>
          <w:p>
            <w:pPr>
              <w:ind w:firstLine="482" w:firstLineChars="200"/>
              <w:rPr>
                <w:rFonts w:eastAsia="宋体"/>
                <w:b/>
                <w:sz w:val="24"/>
                <w:szCs w:val="24"/>
              </w:rPr>
            </w:pPr>
            <w:r>
              <w:rPr>
                <w:rFonts w:hint="eastAsia" w:eastAsia="宋体"/>
                <w:b/>
                <w:sz w:val="24"/>
                <w:szCs w:val="24"/>
              </w:rPr>
              <w:t>7.3.2</w:t>
            </w:r>
            <w:r>
              <w:rPr>
                <w:rFonts w:eastAsia="宋体"/>
                <w:b/>
                <w:sz w:val="24"/>
                <w:szCs w:val="24"/>
              </w:rPr>
              <w:t>环境监测计划</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环境监测是环境管理技术的重要支持，其主要职责是对本工程污染源和区域的环境质量进行监测，并对监测数据进行统计、分析，以便环境管理部门及时、准确地掌握本工程的污染动态和区域环境质量变化情况。</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根据本项目环境影响预测及分析结果，本次评价主要提出项目在生产运行阶段的污染源监测计划，监测内容包括大气环境、水环境及声环境，监测工作应委托具有检测资质的单位承担。项目环境监测计划详见表7-25：</w:t>
            </w:r>
          </w:p>
          <w:p>
            <w:pPr>
              <w:pStyle w:val="13"/>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运行期监测计划一览表</w:t>
            </w:r>
          </w:p>
          <w:tbl>
            <w:tblPr>
              <w:tblStyle w:val="110"/>
              <w:tblW w:w="9070"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48"/>
              <w:gridCol w:w="1780"/>
              <w:gridCol w:w="2517"/>
              <w:gridCol w:w="1134"/>
              <w:gridCol w:w="269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分类</w:t>
                  </w:r>
                </w:p>
              </w:tc>
              <w:tc>
                <w:tcPr>
                  <w:tcW w:w="1780"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监测</w:t>
                  </w:r>
                  <w:r>
                    <w:rPr>
                      <w:rFonts w:hint="eastAsia" w:eastAsia="宋体" w:asciiTheme="minorHAnsi" w:hAnsiTheme="minorHAnsi" w:cstheme="minorBidi"/>
                      <w:sz w:val="21"/>
                      <w:szCs w:val="21"/>
                      <w:lang w:eastAsia="en-US"/>
                    </w:rPr>
                    <w:t>点位</w:t>
                  </w:r>
                </w:p>
              </w:tc>
              <w:tc>
                <w:tcPr>
                  <w:tcW w:w="2517"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监测</w:t>
                  </w:r>
                  <w:r>
                    <w:rPr>
                      <w:rFonts w:hint="eastAsia" w:eastAsia="宋体" w:asciiTheme="minorHAnsi" w:hAnsiTheme="minorHAnsi" w:cstheme="minorBidi"/>
                      <w:sz w:val="21"/>
                      <w:szCs w:val="21"/>
                      <w:lang w:eastAsia="en-US"/>
                    </w:rPr>
                    <w:t>指标</w:t>
                  </w:r>
                </w:p>
              </w:tc>
              <w:tc>
                <w:tcPr>
                  <w:tcW w:w="1134"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监测频率</w:t>
                  </w:r>
                </w:p>
              </w:tc>
              <w:tc>
                <w:tcPr>
                  <w:tcW w:w="2691"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执行标准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废气</w:t>
                  </w:r>
                </w:p>
              </w:tc>
              <w:tc>
                <w:tcPr>
                  <w:tcW w:w="1780"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厂界无组织排放监控点</w:t>
                  </w:r>
                </w:p>
              </w:tc>
              <w:tc>
                <w:tcPr>
                  <w:tcW w:w="2517"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非甲烷总烃</w:t>
                  </w:r>
                </w:p>
              </w:tc>
              <w:tc>
                <w:tcPr>
                  <w:tcW w:w="1134"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1次/年</w:t>
                  </w:r>
                </w:p>
              </w:tc>
              <w:tc>
                <w:tcPr>
                  <w:tcW w:w="2691"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《大气污染物综合排放标准》（GB16297-1996）表2</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废水</w:t>
                  </w:r>
                </w:p>
              </w:tc>
              <w:tc>
                <w:tcPr>
                  <w:tcW w:w="1780"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废水总排口</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流量、</w:t>
                  </w:r>
                  <w:r>
                    <w:rPr>
                      <w:rFonts w:eastAsia="宋体" w:asciiTheme="minorHAnsi" w:hAnsiTheme="minorHAnsi" w:cstheme="minorBidi"/>
                      <w:sz w:val="21"/>
                      <w:szCs w:val="21"/>
                      <w:lang w:eastAsia="en-US"/>
                    </w:rPr>
                    <w:t>COD、SS、NH</w:t>
                  </w:r>
                  <w:r>
                    <w:rPr>
                      <w:rFonts w:eastAsia="宋体" w:asciiTheme="minorHAnsi" w:hAnsiTheme="minorHAnsi" w:cstheme="minorBidi"/>
                      <w:sz w:val="21"/>
                      <w:szCs w:val="21"/>
                      <w:vertAlign w:val="subscript"/>
                      <w:lang w:eastAsia="en-US"/>
                    </w:rPr>
                    <w:t>3</w:t>
                  </w:r>
                  <w:r>
                    <w:rPr>
                      <w:rFonts w:eastAsia="宋体" w:asciiTheme="minorHAnsi" w:hAnsiTheme="minorHAnsi" w:cstheme="minorBidi"/>
                      <w:sz w:val="21"/>
                      <w:szCs w:val="21"/>
                      <w:lang w:eastAsia="en-US"/>
                    </w:rPr>
                    <w:t>-N、TP</w:t>
                  </w:r>
                  <w:r>
                    <w:rPr>
                      <w:rFonts w:hint="eastAsia" w:eastAsia="宋体" w:asciiTheme="minorHAnsi" w:hAnsiTheme="minorHAnsi" w:cstheme="minorBidi"/>
                      <w:sz w:val="21"/>
                      <w:szCs w:val="21"/>
                      <w:lang w:eastAsia="en-US"/>
                    </w:rPr>
                    <w:t>、TN</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1次/年</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污水处理厂接管标准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噪声</w:t>
                  </w:r>
                </w:p>
              </w:tc>
              <w:tc>
                <w:tcPr>
                  <w:tcW w:w="1780"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四周厂界</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连续等效A 声级（Leq（A））</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1次/年</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《工业企业厂界环境噪声排放标准》（GB12348-2008）中</w:t>
                  </w:r>
                  <w:r>
                    <w:rPr>
                      <w:rFonts w:hint="eastAsia" w:eastAsia="宋体" w:asciiTheme="minorHAnsi" w:hAnsiTheme="minorHAnsi" w:cstheme="minorBidi"/>
                      <w:sz w:val="21"/>
                      <w:szCs w:val="21"/>
                      <w:lang w:eastAsia="en-US"/>
                    </w:rPr>
                    <w:t>2</w:t>
                  </w:r>
                  <w:r>
                    <w:rPr>
                      <w:rFonts w:eastAsia="宋体" w:asciiTheme="minorHAnsi" w:hAnsiTheme="minorHAnsi" w:cstheme="minorBidi"/>
                      <w:sz w:val="21"/>
                      <w:szCs w:val="21"/>
                      <w:lang w:eastAsia="en-US"/>
                    </w:rPr>
                    <w:t>类标准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restart"/>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地下水*</w:t>
                  </w:r>
                </w:p>
              </w:tc>
              <w:tc>
                <w:tcPr>
                  <w:tcW w:w="1780" w:type="dxa"/>
                  <w:vMerge w:val="restart"/>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油罐区附近</w:t>
                  </w:r>
                  <w:r>
                    <w:rPr>
                      <w:rFonts w:hint="eastAsia" w:eastAsia="宋体" w:asciiTheme="minorHAnsi" w:hAnsiTheme="minorHAnsi" w:cstheme="minorBidi"/>
                      <w:sz w:val="21"/>
                      <w:szCs w:val="21"/>
                      <w:lang w:eastAsia="en-US"/>
                    </w:rPr>
                    <w:t>（地下水流向上游）</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油品</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周</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780"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VOCs（萘、苯、甲苯、乙苯、邻二甲苯、间（对）二甲苯、甲基叔丁基醚）</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季度</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《地下水质量标准》（GBT14848-2017）</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780" w:type="dxa"/>
                  <w:vMerge w:val="restart"/>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油罐区附近</w:t>
                  </w:r>
                  <w:r>
                    <w:rPr>
                      <w:rFonts w:hint="eastAsia" w:eastAsia="宋体" w:asciiTheme="minorHAnsi" w:hAnsiTheme="minorHAnsi" w:cstheme="minorBidi"/>
                      <w:sz w:val="21"/>
                      <w:szCs w:val="21"/>
                      <w:lang w:eastAsia="en-US"/>
                    </w:rPr>
                    <w:t>（地下水流向下游）</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油品</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周</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780"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VOCs（萘、苯、甲苯、乙苯、邻二甲苯、间（对）二甲苯、甲基叔丁基醚）</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季度</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《地下水质量标准》（GBT14848-2017）</w:t>
                  </w:r>
                </w:p>
              </w:tc>
            </w:tr>
          </w:tbl>
          <w:p>
            <w:pPr>
              <w:pStyle w:val="13"/>
              <w:ind w:firstLine="420" w:firstLineChars="200"/>
              <w:rPr>
                <w:rFonts w:ascii="Times New Roman" w:hAnsi="Times New Roman" w:cs="Times New Roman"/>
                <w:szCs w:val="24"/>
              </w:rPr>
            </w:pPr>
            <w:r>
              <w:rPr>
                <w:rFonts w:hint="eastAsia" w:ascii="Times New Roman" w:hAnsi="Times New Roman" w:cs="Times New Roman"/>
                <w:szCs w:val="24"/>
              </w:rPr>
              <w:t>注：地下水监测应符合《加油站地下水污染防治技术指南（试行）》（2017年3月）要求：项目不在洪水调蓄区的补给径流区，但距离较近，本环评从严要求设两个地下水监测井，一个设在埋地油罐区地下水流向的下游，在保证安全的情况下，尽可能靠近埋地油罐。另一个设在埋地油罐区地下水流向的上游，作为背景监测井。在保证安全的情况下，尽可能靠近埋地油罐。监测井设置的要求可参照《场地环境监测技术导则》（HJ/T 25.2）执行。</w:t>
            </w:r>
          </w:p>
          <w:p>
            <w:pPr>
              <w:pStyle w:val="13"/>
              <w:ind w:firstLine="420" w:firstLineChars="200"/>
              <w:rPr>
                <w:rFonts w:ascii="Times New Roman" w:hAnsi="Times New Roman" w:cs="Times New Roman"/>
                <w:szCs w:val="24"/>
              </w:rPr>
            </w:pPr>
            <w:r>
              <w:rPr>
                <w:rFonts w:hint="eastAsia" w:ascii="Times New Roman" w:hAnsi="Times New Roman" w:cs="Times New Roman"/>
                <w:szCs w:val="24"/>
              </w:rPr>
              <w:t>地下水监测分为定性监测、定量监测：定性监测可通过肉眼观察、使用测油膏、便携式气体监测仪等其他快速方法判定地下水监测井中是否存在油品污染，定性监测每周一次。若定性监测发现地下水存在油品污染，立即启动定量监测；若定性监测未发现问题，则每季度监测1 次，具体监测指标见表。</w:t>
            </w:r>
          </w:p>
          <w:p>
            <w:pPr>
              <w:pStyle w:val="13"/>
              <w:ind w:firstLine="480" w:firstLineChars="200"/>
              <w:rPr>
                <w:rFonts w:ascii="Times New Roman" w:hAnsi="Times New Roman" w:cs="Times New Roman"/>
                <w:sz w:val="24"/>
                <w:szCs w:val="24"/>
              </w:rPr>
            </w:pPr>
          </w:p>
        </w:tc>
      </w:tr>
    </w:tbl>
    <w:p>
      <w:pPr>
        <w:outlineLvl w:val="0"/>
        <w:rPr>
          <w:rFonts w:eastAsia="宋体"/>
          <w:b/>
        </w:rPr>
      </w:pPr>
    </w:p>
    <w:p>
      <w:pPr>
        <w:outlineLvl w:val="0"/>
        <w:rPr>
          <w:rFonts w:eastAsia="宋体"/>
          <w:b/>
        </w:rPr>
      </w:pPr>
      <w:r>
        <w:rPr>
          <w:rFonts w:eastAsia="宋体"/>
          <w:b/>
        </w:rPr>
        <w:t>八、建设项目拟采取的防治措施及预期治理效果</w:t>
      </w:r>
    </w:p>
    <w:tbl>
      <w:tblPr>
        <w:tblStyle w:val="2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64"/>
        <w:gridCol w:w="1265"/>
        <w:gridCol w:w="2810"/>
        <w:gridCol w:w="3035"/>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tcBorders>
              <w:tl2br w:val="single" w:color="auto" w:sz="4" w:space="0"/>
            </w:tcBorders>
            <w:vAlign w:val="center"/>
          </w:tcPr>
          <w:p>
            <w:pPr>
              <w:snapToGrid w:val="0"/>
              <w:spacing w:line="240" w:lineRule="auto"/>
              <w:ind w:left="72" w:firstLine="135"/>
              <w:jc w:val="right"/>
              <w:rPr>
                <w:rFonts w:eastAsia="宋体"/>
                <w:sz w:val="21"/>
                <w:szCs w:val="21"/>
              </w:rPr>
            </w:pPr>
            <w:r>
              <w:rPr>
                <w:rFonts w:eastAsia="宋体"/>
                <w:sz w:val="21"/>
                <w:szCs w:val="21"/>
              </w:rPr>
              <w:t>内容</w:t>
            </w:r>
          </w:p>
          <w:p>
            <w:pPr>
              <w:snapToGrid w:val="0"/>
              <w:spacing w:line="240" w:lineRule="auto"/>
              <w:rPr>
                <w:rFonts w:eastAsia="宋体"/>
                <w:sz w:val="21"/>
                <w:szCs w:val="21"/>
              </w:rPr>
            </w:pPr>
            <w:r>
              <w:rPr>
                <w:rFonts w:eastAsia="宋体"/>
                <w:sz w:val="21"/>
                <w:szCs w:val="21"/>
              </w:rPr>
              <w:t>类型</w:t>
            </w:r>
          </w:p>
        </w:tc>
        <w:tc>
          <w:tcPr>
            <w:tcW w:w="1264" w:type="dxa"/>
            <w:vAlign w:val="center"/>
          </w:tcPr>
          <w:p>
            <w:pPr>
              <w:snapToGrid w:val="0"/>
              <w:spacing w:line="240" w:lineRule="auto"/>
              <w:ind w:firstLine="135"/>
              <w:jc w:val="center"/>
              <w:rPr>
                <w:rFonts w:eastAsia="宋体"/>
                <w:sz w:val="21"/>
                <w:szCs w:val="21"/>
              </w:rPr>
            </w:pPr>
            <w:r>
              <w:rPr>
                <w:rFonts w:eastAsia="宋体"/>
                <w:sz w:val="21"/>
                <w:szCs w:val="21"/>
              </w:rPr>
              <w:t>排放源      (编号)</w:t>
            </w:r>
          </w:p>
        </w:tc>
        <w:tc>
          <w:tcPr>
            <w:tcW w:w="1265" w:type="dxa"/>
            <w:vAlign w:val="center"/>
          </w:tcPr>
          <w:p>
            <w:pPr>
              <w:snapToGrid w:val="0"/>
              <w:spacing w:line="240" w:lineRule="auto"/>
              <w:jc w:val="center"/>
              <w:rPr>
                <w:rFonts w:eastAsia="宋体"/>
                <w:sz w:val="21"/>
                <w:szCs w:val="21"/>
              </w:rPr>
            </w:pPr>
            <w:r>
              <w:rPr>
                <w:rFonts w:eastAsia="宋体"/>
                <w:sz w:val="21"/>
                <w:szCs w:val="21"/>
              </w:rPr>
              <w:t>污染物</w:t>
            </w:r>
          </w:p>
          <w:p>
            <w:pPr>
              <w:snapToGrid w:val="0"/>
              <w:spacing w:line="240" w:lineRule="auto"/>
              <w:jc w:val="center"/>
              <w:rPr>
                <w:rFonts w:eastAsia="宋体"/>
                <w:sz w:val="21"/>
                <w:szCs w:val="21"/>
              </w:rPr>
            </w:pPr>
            <w:r>
              <w:rPr>
                <w:rFonts w:eastAsia="宋体"/>
                <w:sz w:val="21"/>
                <w:szCs w:val="21"/>
              </w:rPr>
              <w:t>名称</w:t>
            </w:r>
          </w:p>
        </w:tc>
        <w:tc>
          <w:tcPr>
            <w:tcW w:w="2810" w:type="dxa"/>
            <w:vAlign w:val="center"/>
          </w:tcPr>
          <w:p>
            <w:pPr>
              <w:snapToGrid w:val="0"/>
              <w:spacing w:line="240" w:lineRule="auto"/>
              <w:ind w:firstLine="135"/>
              <w:jc w:val="center"/>
              <w:rPr>
                <w:rFonts w:eastAsia="宋体"/>
                <w:sz w:val="21"/>
                <w:szCs w:val="21"/>
              </w:rPr>
            </w:pPr>
            <w:r>
              <w:rPr>
                <w:rFonts w:eastAsia="宋体"/>
                <w:sz w:val="21"/>
                <w:szCs w:val="21"/>
              </w:rPr>
              <w:t>防治措施</w:t>
            </w:r>
          </w:p>
        </w:tc>
        <w:tc>
          <w:tcPr>
            <w:tcW w:w="3044" w:type="dxa"/>
            <w:gridSpan w:val="2"/>
            <w:vAlign w:val="center"/>
          </w:tcPr>
          <w:p>
            <w:pPr>
              <w:snapToGrid w:val="0"/>
              <w:spacing w:line="240" w:lineRule="auto"/>
              <w:ind w:firstLine="135"/>
              <w:jc w:val="center"/>
              <w:rPr>
                <w:rFonts w:eastAsia="宋体"/>
                <w:sz w:val="21"/>
                <w:szCs w:val="21"/>
              </w:rPr>
            </w:pPr>
            <w:r>
              <w:rPr>
                <w:rFonts w:eastAsia="宋体"/>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大气</w:t>
            </w:r>
          </w:p>
          <w:p>
            <w:pPr>
              <w:snapToGrid w:val="0"/>
              <w:spacing w:line="240" w:lineRule="auto"/>
              <w:ind w:left="72"/>
              <w:jc w:val="center"/>
              <w:rPr>
                <w:rFonts w:eastAsia="宋体"/>
                <w:sz w:val="21"/>
                <w:szCs w:val="21"/>
              </w:rPr>
            </w:pPr>
            <w:r>
              <w:rPr>
                <w:rFonts w:eastAsia="宋体"/>
                <w:sz w:val="21"/>
                <w:szCs w:val="21"/>
              </w:rPr>
              <w:t>污染物</w:t>
            </w: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接卸油、储罐、加油机等</w:t>
            </w:r>
          </w:p>
        </w:tc>
        <w:tc>
          <w:tcPr>
            <w:tcW w:w="1265"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非甲烷总烃</w:t>
            </w:r>
          </w:p>
        </w:tc>
        <w:tc>
          <w:tcPr>
            <w:tcW w:w="2810"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埋地储油罐；采取密闭卸油；安装二级</w:t>
            </w:r>
            <w:r>
              <w:rPr>
                <w:rFonts w:eastAsia="宋体"/>
                <w:sz w:val="21"/>
                <w:szCs w:val="21"/>
              </w:rPr>
              <w:t>油气回收系统</w:t>
            </w:r>
          </w:p>
        </w:tc>
        <w:tc>
          <w:tcPr>
            <w:tcW w:w="3044" w:type="dxa"/>
            <w:gridSpan w:val="2"/>
            <w:tcBorders>
              <w:bottom w:val="single" w:color="auto" w:sz="4" w:space="0"/>
            </w:tcBorders>
            <w:vAlign w:val="center"/>
          </w:tcPr>
          <w:p>
            <w:pPr>
              <w:snapToGrid w:val="0"/>
              <w:spacing w:line="240" w:lineRule="auto"/>
              <w:jc w:val="cente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continue"/>
            <w:tcBorders>
              <w:bottom w:val="single" w:color="auto" w:sz="4" w:space="0"/>
            </w:tcBorders>
            <w:vAlign w:val="center"/>
          </w:tcPr>
          <w:p>
            <w:pPr>
              <w:snapToGrid w:val="0"/>
              <w:spacing w:line="240" w:lineRule="auto"/>
              <w:ind w:left="72"/>
              <w:jc w:val="center"/>
              <w:rPr>
                <w:rFonts w:eastAsia="宋体"/>
                <w:sz w:val="21"/>
                <w:szCs w:val="21"/>
              </w:rPr>
            </w:pP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进站加油机动车</w:t>
            </w:r>
          </w:p>
        </w:tc>
        <w:tc>
          <w:tcPr>
            <w:tcW w:w="12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机动车尾气（CO、THC、</w:t>
            </w:r>
            <w:r>
              <w:rPr>
                <w:rFonts w:eastAsia="宋体"/>
                <w:sz w:val="21"/>
                <w:szCs w:val="21"/>
              </w:rPr>
              <w:t>NOx</w:t>
            </w:r>
            <w:r>
              <w:rPr>
                <w:rFonts w:hint="eastAsia" w:eastAsia="宋体"/>
                <w:sz w:val="21"/>
                <w:szCs w:val="21"/>
              </w:rPr>
              <w:t>）</w:t>
            </w:r>
          </w:p>
        </w:tc>
        <w:tc>
          <w:tcPr>
            <w:tcW w:w="2810"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绿化，空气流通</w:t>
            </w:r>
          </w:p>
        </w:tc>
        <w:tc>
          <w:tcPr>
            <w:tcW w:w="3044" w:type="dxa"/>
            <w:gridSpan w:val="2"/>
            <w:tcBorders>
              <w:bottom w:val="single" w:color="auto" w:sz="4" w:space="0"/>
            </w:tcBorders>
            <w:vAlign w:val="center"/>
          </w:tcPr>
          <w:p>
            <w:pPr>
              <w:snapToGrid w:val="0"/>
              <w:spacing w:line="240" w:lineRule="auto"/>
              <w:jc w:val="center"/>
              <w:rPr>
                <w:rFonts w:eastAsia="宋体"/>
                <w:kern w:val="0"/>
                <w:sz w:val="21"/>
                <w:szCs w:val="21"/>
              </w:rPr>
            </w:pPr>
            <w:r>
              <w:rPr>
                <w:rFonts w:hint="eastAsia" w:eastAsia="宋体"/>
                <w:kern w:val="0"/>
                <w:sz w:val="21"/>
                <w:szCs w:val="21"/>
              </w:rPr>
              <w:t>对周围影响较小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水污染物</w:t>
            </w:r>
          </w:p>
        </w:tc>
        <w:tc>
          <w:tcPr>
            <w:tcW w:w="1264" w:type="dxa"/>
            <w:vAlign w:val="center"/>
          </w:tcPr>
          <w:p>
            <w:pPr>
              <w:snapToGrid w:val="0"/>
              <w:spacing w:line="240" w:lineRule="auto"/>
              <w:jc w:val="center"/>
              <w:rPr>
                <w:rFonts w:eastAsia="宋体"/>
                <w:sz w:val="21"/>
                <w:szCs w:val="21"/>
              </w:rPr>
            </w:pPr>
            <w:r>
              <w:rPr>
                <w:rFonts w:eastAsia="宋体"/>
                <w:sz w:val="21"/>
                <w:szCs w:val="21"/>
              </w:rPr>
              <w:t>生活污水</w:t>
            </w:r>
          </w:p>
        </w:tc>
        <w:tc>
          <w:tcPr>
            <w:tcW w:w="1265" w:type="dxa"/>
            <w:vAlign w:val="center"/>
          </w:tcPr>
          <w:p>
            <w:pPr>
              <w:snapToGrid w:val="0"/>
              <w:spacing w:line="240" w:lineRule="auto"/>
              <w:jc w:val="center"/>
              <w:rPr>
                <w:rFonts w:eastAsia="宋体"/>
                <w:sz w:val="21"/>
                <w:szCs w:val="21"/>
              </w:rPr>
            </w:pPr>
            <w:r>
              <w:rPr>
                <w:rFonts w:eastAsia="宋体"/>
                <w:sz w:val="21"/>
                <w:szCs w:val="21"/>
              </w:rPr>
              <w:t>COD、SS、NH</w:t>
            </w:r>
            <w:r>
              <w:rPr>
                <w:rFonts w:eastAsia="宋体"/>
                <w:sz w:val="21"/>
                <w:szCs w:val="21"/>
                <w:vertAlign w:val="subscript"/>
              </w:rPr>
              <w:t>3</w:t>
            </w:r>
            <w:r>
              <w:rPr>
                <w:rFonts w:eastAsia="宋体"/>
                <w:sz w:val="21"/>
                <w:szCs w:val="21"/>
              </w:rPr>
              <w:t>-N、TP</w:t>
            </w:r>
            <w:r>
              <w:rPr>
                <w:rFonts w:hint="eastAsia" w:eastAsia="宋体"/>
                <w:sz w:val="21"/>
                <w:szCs w:val="21"/>
              </w:rPr>
              <w:t>、TN</w:t>
            </w:r>
          </w:p>
        </w:tc>
        <w:tc>
          <w:tcPr>
            <w:tcW w:w="2810" w:type="dxa"/>
            <w:vAlign w:val="center"/>
          </w:tcPr>
          <w:p>
            <w:pPr>
              <w:snapToGrid w:val="0"/>
              <w:spacing w:line="240" w:lineRule="auto"/>
              <w:jc w:val="center"/>
              <w:rPr>
                <w:rFonts w:eastAsia="宋体"/>
                <w:sz w:val="21"/>
                <w:szCs w:val="21"/>
              </w:rPr>
            </w:pPr>
            <w:r>
              <w:rPr>
                <w:rFonts w:eastAsia="宋体"/>
                <w:sz w:val="21"/>
                <w:szCs w:val="21"/>
              </w:rPr>
              <w:t>化粪池</w:t>
            </w:r>
            <w:r>
              <w:rPr>
                <w:rFonts w:hint="eastAsia" w:eastAsia="宋体"/>
                <w:sz w:val="21"/>
                <w:szCs w:val="21"/>
              </w:rPr>
              <w:t>预处理；</w:t>
            </w:r>
          </w:p>
        </w:tc>
        <w:tc>
          <w:tcPr>
            <w:tcW w:w="3044" w:type="dxa"/>
            <w:gridSpan w:val="2"/>
            <w:vAlign w:val="center"/>
          </w:tcPr>
          <w:p>
            <w:pPr>
              <w:snapToGrid w:val="0"/>
              <w:spacing w:line="240" w:lineRule="auto"/>
              <w:jc w:val="center"/>
              <w:rPr>
                <w:rFonts w:eastAsia="宋体"/>
                <w:sz w:val="21"/>
                <w:szCs w:val="21"/>
              </w:rPr>
            </w:pPr>
            <w:r>
              <w:rPr>
                <w:rFonts w:hint="eastAsia" w:eastAsia="宋体"/>
                <w:sz w:val="21"/>
                <w:szCs w:val="21"/>
              </w:rPr>
              <w:t>满足沭阳县城东污水处理厂接管标准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地下水</w:t>
            </w:r>
          </w:p>
        </w:tc>
        <w:tc>
          <w:tcPr>
            <w:tcW w:w="1265" w:type="dxa"/>
            <w:vAlign w:val="center"/>
          </w:tcPr>
          <w:p>
            <w:pPr>
              <w:snapToGrid w:val="0"/>
              <w:spacing w:line="240" w:lineRule="auto"/>
              <w:jc w:val="center"/>
              <w:rPr>
                <w:rFonts w:eastAsia="宋体"/>
                <w:sz w:val="21"/>
                <w:szCs w:val="21"/>
              </w:rPr>
            </w:pPr>
            <w:r>
              <w:rPr>
                <w:rFonts w:eastAsia="宋体"/>
                <w:sz w:val="21"/>
                <w:szCs w:val="21"/>
              </w:rPr>
              <w:t>石油类</w:t>
            </w:r>
            <w:r>
              <w:rPr>
                <w:rFonts w:hint="eastAsia" w:eastAsia="宋体"/>
                <w:sz w:val="21"/>
                <w:szCs w:val="21"/>
              </w:rPr>
              <w:t>、VOCs</w:t>
            </w:r>
          </w:p>
        </w:tc>
        <w:tc>
          <w:tcPr>
            <w:tcW w:w="2810" w:type="dxa"/>
            <w:vAlign w:val="center"/>
          </w:tcPr>
          <w:p>
            <w:pPr>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3044" w:type="dxa"/>
            <w:gridSpan w:val="2"/>
            <w:vAlign w:val="center"/>
          </w:tcPr>
          <w:p>
            <w:pPr>
              <w:snapToGrid w:val="0"/>
              <w:spacing w:line="240" w:lineRule="auto"/>
              <w:jc w:val="center"/>
              <w:rPr>
                <w:rFonts w:eastAsia="宋体"/>
                <w:sz w:val="21"/>
                <w:szCs w:val="21"/>
              </w:rPr>
            </w:pPr>
            <w:r>
              <w:rPr>
                <w:rFonts w:eastAsia="宋体"/>
                <w:sz w:val="21"/>
                <w:szCs w:val="21"/>
              </w:rPr>
              <w:t>满足环保要求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80"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固体废物</w:t>
            </w:r>
          </w:p>
        </w:tc>
        <w:tc>
          <w:tcPr>
            <w:tcW w:w="1264" w:type="dxa"/>
            <w:vAlign w:val="center"/>
          </w:tcPr>
          <w:p>
            <w:pPr>
              <w:snapToGrid w:val="0"/>
              <w:spacing w:line="240" w:lineRule="auto"/>
              <w:jc w:val="center"/>
              <w:rPr>
                <w:rFonts w:eastAsia="宋体"/>
                <w:sz w:val="21"/>
                <w:szCs w:val="21"/>
              </w:rPr>
            </w:pPr>
            <w:r>
              <w:rPr>
                <w:rFonts w:eastAsia="宋体"/>
                <w:sz w:val="21"/>
                <w:szCs w:val="21"/>
              </w:rPr>
              <w:t>生活垃圾</w:t>
            </w:r>
          </w:p>
        </w:tc>
        <w:tc>
          <w:tcPr>
            <w:tcW w:w="1265" w:type="dxa"/>
            <w:tcBorders>
              <w:bottom w:val="single" w:color="auto" w:sz="4" w:space="0"/>
            </w:tcBorders>
            <w:vAlign w:val="center"/>
          </w:tcPr>
          <w:p>
            <w:pPr>
              <w:pStyle w:val="17"/>
              <w:spacing w:line="240" w:lineRule="auto"/>
              <w:ind w:left="-4" w:leftChars="-7" w:hanging="16" w:hangingChars="8"/>
              <w:jc w:val="center"/>
              <w:rPr>
                <w:rFonts w:eastAsia="宋体"/>
                <w:sz w:val="21"/>
                <w:szCs w:val="21"/>
              </w:rPr>
            </w:pPr>
            <w:r>
              <w:rPr>
                <w:rFonts w:eastAsia="宋体"/>
                <w:sz w:val="21"/>
                <w:szCs w:val="21"/>
              </w:rPr>
              <w:t>可燃物、可堆腐物</w:t>
            </w:r>
          </w:p>
        </w:tc>
        <w:tc>
          <w:tcPr>
            <w:tcW w:w="2810" w:type="dxa"/>
            <w:vAlign w:val="center"/>
          </w:tcPr>
          <w:p>
            <w:pPr>
              <w:snapToGrid w:val="0"/>
              <w:spacing w:line="240" w:lineRule="auto"/>
              <w:ind w:left="72" w:firstLine="135"/>
              <w:jc w:val="center"/>
              <w:rPr>
                <w:rFonts w:eastAsia="宋体"/>
                <w:sz w:val="21"/>
                <w:szCs w:val="21"/>
              </w:rPr>
            </w:pPr>
            <w:r>
              <w:rPr>
                <w:rFonts w:hint="eastAsia" w:eastAsia="宋体"/>
                <w:sz w:val="21"/>
                <w:szCs w:val="21"/>
              </w:rPr>
              <w:t>环卫部门定期清运</w:t>
            </w:r>
          </w:p>
        </w:tc>
        <w:tc>
          <w:tcPr>
            <w:tcW w:w="3035" w:type="dxa"/>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废油、油渣</w:t>
            </w:r>
          </w:p>
        </w:tc>
        <w:tc>
          <w:tcPr>
            <w:tcW w:w="1265" w:type="dxa"/>
            <w:vAlign w:val="center"/>
          </w:tcPr>
          <w:p>
            <w:pPr>
              <w:pStyle w:val="17"/>
              <w:spacing w:line="240" w:lineRule="auto"/>
              <w:ind w:left="-4" w:leftChars="-7" w:hanging="16" w:hangingChars="8"/>
              <w:jc w:val="center"/>
              <w:rPr>
                <w:rFonts w:eastAsia="宋体"/>
                <w:sz w:val="21"/>
                <w:szCs w:val="21"/>
              </w:rPr>
            </w:pPr>
            <w:r>
              <w:rPr>
                <w:rFonts w:eastAsia="宋体"/>
                <w:sz w:val="21"/>
                <w:szCs w:val="21"/>
              </w:rPr>
              <w:t>废矿物油</w:t>
            </w:r>
          </w:p>
        </w:tc>
        <w:tc>
          <w:tcPr>
            <w:tcW w:w="2810" w:type="dxa"/>
            <w:vAlign w:val="center"/>
          </w:tcPr>
          <w:p>
            <w:pPr>
              <w:snapToGrid w:val="0"/>
              <w:spacing w:line="240" w:lineRule="auto"/>
              <w:jc w:val="center"/>
              <w:rPr>
                <w:rFonts w:eastAsia="宋体"/>
                <w:sz w:val="21"/>
                <w:szCs w:val="21"/>
              </w:rPr>
            </w:pPr>
            <w:r>
              <w:rPr>
                <w:rFonts w:eastAsia="宋体"/>
                <w:sz w:val="21"/>
                <w:szCs w:val="21"/>
              </w:rPr>
              <w:t>委托有资质单位处置</w:t>
            </w:r>
          </w:p>
        </w:tc>
        <w:tc>
          <w:tcPr>
            <w:tcW w:w="3044" w:type="dxa"/>
            <w:gridSpan w:val="2"/>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ind w:firstLine="210" w:firstLineChars="100"/>
              <w:jc w:val="center"/>
              <w:rPr>
                <w:rFonts w:eastAsia="宋体"/>
                <w:sz w:val="21"/>
                <w:szCs w:val="21"/>
              </w:rPr>
            </w:pPr>
            <w:r>
              <w:rPr>
                <w:rFonts w:eastAsia="宋体"/>
                <w:sz w:val="21"/>
                <w:szCs w:val="21"/>
              </w:rPr>
              <w:t>噪声</w:t>
            </w:r>
          </w:p>
        </w:tc>
        <w:tc>
          <w:tcPr>
            <w:tcW w:w="2529" w:type="dxa"/>
            <w:gridSpan w:val="2"/>
            <w:vAlign w:val="center"/>
          </w:tcPr>
          <w:p>
            <w:pPr>
              <w:snapToGrid w:val="0"/>
              <w:spacing w:line="240" w:lineRule="auto"/>
              <w:jc w:val="center"/>
              <w:rPr>
                <w:rFonts w:eastAsia="宋体"/>
                <w:sz w:val="21"/>
                <w:szCs w:val="21"/>
              </w:rPr>
            </w:pPr>
            <w:r>
              <w:rPr>
                <w:rFonts w:eastAsia="宋体"/>
                <w:sz w:val="21"/>
                <w:szCs w:val="21"/>
              </w:rPr>
              <w:t>加油机、各类泵体及往来加油的车辆等，噪声源强约为</w:t>
            </w:r>
            <w:r>
              <w:rPr>
                <w:rFonts w:hint="eastAsia" w:eastAsia="宋体"/>
                <w:sz w:val="21"/>
                <w:szCs w:val="21"/>
              </w:rPr>
              <w:t>60-75</w:t>
            </w:r>
            <w:r>
              <w:rPr>
                <w:rFonts w:eastAsia="宋体"/>
                <w:sz w:val="21"/>
                <w:szCs w:val="21"/>
              </w:rPr>
              <w:t>dB(A)</w:t>
            </w:r>
          </w:p>
        </w:tc>
        <w:tc>
          <w:tcPr>
            <w:tcW w:w="2810" w:type="dxa"/>
            <w:vAlign w:val="center"/>
          </w:tcPr>
          <w:p>
            <w:pPr>
              <w:snapToGrid w:val="0"/>
              <w:spacing w:line="240" w:lineRule="auto"/>
              <w:jc w:val="center"/>
              <w:rPr>
                <w:rFonts w:eastAsia="宋体"/>
                <w:sz w:val="21"/>
                <w:szCs w:val="21"/>
              </w:rPr>
            </w:pPr>
            <w:r>
              <w:rPr>
                <w:rFonts w:eastAsia="宋体"/>
                <w:bCs/>
                <w:sz w:val="21"/>
                <w:szCs w:val="21"/>
              </w:rPr>
              <w:t>降噪、隔声、设备合理布局</w:t>
            </w:r>
          </w:p>
        </w:tc>
        <w:tc>
          <w:tcPr>
            <w:tcW w:w="3044" w:type="dxa"/>
            <w:gridSpan w:val="2"/>
            <w:vAlign w:val="center"/>
          </w:tcPr>
          <w:p>
            <w:pPr>
              <w:snapToGrid w:val="0"/>
              <w:spacing w:line="240" w:lineRule="auto"/>
              <w:jc w:val="center"/>
              <w:rPr>
                <w:rFonts w:eastAsia="宋体"/>
                <w:sz w:val="21"/>
                <w:szCs w:val="21"/>
              </w:rPr>
            </w:pPr>
            <w:r>
              <w:rPr>
                <w:rFonts w:eastAsia="宋体"/>
                <w:sz w:val="21"/>
                <w:szCs w:val="21"/>
              </w:rPr>
              <w:t>厂界噪声满足《工业企业厂界环境噪声排放标准》（GB12348-2008）中的</w:t>
            </w:r>
            <w:r>
              <w:rPr>
                <w:rFonts w:hint="eastAsia" w:eastAsia="宋体"/>
                <w:sz w:val="21"/>
                <w:szCs w:val="21"/>
              </w:rPr>
              <w:t>2类</w:t>
            </w:r>
            <w:r>
              <w:rPr>
                <w:rFonts w:eastAsia="宋体"/>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jc w:val="center"/>
              <w:rPr>
                <w:rFonts w:eastAsia="宋体"/>
                <w:sz w:val="21"/>
                <w:szCs w:val="21"/>
              </w:rPr>
            </w:pPr>
            <w:r>
              <w:rPr>
                <w:rFonts w:eastAsia="宋体"/>
                <w:sz w:val="21"/>
                <w:szCs w:val="21"/>
              </w:rPr>
              <w:t>电离辐射和电磁辐射</w:t>
            </w:r>
          </w:p>
        </w:tc>
        <w:tc>
          <w:tcPr>
            <w:tcW w:w="8383" w:type="dxa"/>
            <w:gridSpan w:val="5"/>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277" w:type="dxa"/>
            <w:vAlign w:val="center"/>
          </w:tcPr>
          <w:p>
            <w:pPr>
              <w:snapToGrid w:val="0"/>
              <w:spacing w:line="240" w:lineRule="auto"/>
              <w:ind w:left="72" w:firstLine="135"/>
              <w:jc w:val="center"/>
              <w:rPr>
                <w:rFonts w:eastAsia="宋体"/>
                <w:sz w:val="21"/>
                <w:szCs w:val="21"/>
              </w:rPr>
            </w:pPr>
            <w:r>
              <w:rPr>
                <w:rFonts w:eastAsia="宋体"/>
                <w:sz w:val="21"/>
                <w:szCs w:val="21"/>
              </w:rPr>
              <w:t>其他</w:t>
            </w:r>
          </w:p>
        </w:tc>
        <w:tc>
          <w:tcPr>
            <w:tcW w:w="8383" w:type="dxa"/>
            <w:gridSpan w:val="5"/>
            <w:vAlign w:val="center"/>
          </w:tcPr>
          <w:p>
            <w:pPr>
              <w:snapToGrid w:val="0"/>
              <w:spacing w:line="240" w:lineRule="auto"/>
              <w:jc w:val="center"/>
              <w:rPr>
                <w:rFonts w:eastAsia="宋体"/>
                <w:sz w:val="21"/>
                <w:szCs w:val="21"/>
              </w:rPr>
            </w:pPr>
            <w:r>
              <w:rPr>
                <w:rFonts w:eastAsia="宋体"/>
                <w:sz w:val="21"/>
                <w:szCs w:val="21"/>
              </w:rPr>
              <w:t>在厂区内特别是罐区及注油机附近设监控器，并制订严格的油泄漏及火灾的防范措施。按消防、加油站防火规范要求进行设计、建设和管理，并采取防火、防爆、防雷、抗震等措施，防范生产事故的发生，降低环境风险发生的机率和保护周围的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9660" w:type="dxa"/>
            <w:gridSpan w:val="6"/>
          </w:tcPr>
          <w:p>
            <w:pPr>
              <w:snapToGrid w:val="0"/>
              <w:spacing w:line="240" w:lineRule="auto"/>
              <w:jc w:val="both"/>
              <w:rPr>
                <w:rFonts w:eastAsia="宋体"/>
                <w:sz w:val="21"/>
                <w:szCs w:val="21"/>
              </w:rPr>
            </w:pPr>
            <w:r>
              <w:rPr>
                <w:rFonts w:eastAsia="宋体"/>
                <w:sz w:val="21"/>
                <w:szCs w:val="21"/>
              </w:rPr>
              <w:t>生态保护措施及预期效果：</w:t>
            </w:r>
          </w:p>
          <w:p>
            <w:pPr>
              <w:pStyle w:val="2"/>
              <w:ind w:firstLine="280"/>
            </w:pPr>
          </w:p>
          <w:p>
            <w:pPr>
              <w:snapToGrid w:val="0"/>
              <w:ind w:firstLine="420" w:firstLineChars="200"/>
              <w:jc w:val="both"/>
              <w:rPr>
                <w:rFonts w:eastAsia="宋体"/>
                <w:sz w:val="21"/>
                <w:szCs w:val="21"/>
              </w:rPr>
            </w:pPr>
            <w:r>
              <w:rPr>
                <w:rFonts w:eastAsia="宋体"/>
                <w:sz w:val="21"/>
                <w:szCs w:val="21"/>
              </w:rPr>
              <w:t>本项目要加强绿化并要对绿化妥善管理，这不仅能美化环境，同时也能吸附无组织排放的废气和净化空气都有益处</w:t>
            </w:r>
            <w:r>
              <w:rPr>
                <w:rFonts w:hint="eastAsia" w:eastAsia="宋体"/>
                <w:sz w:val="21"/>
                <w:szCs w:val="21"/>
              </w:rPr>
              <w:t>.</w:t>
            </w:r>
          </w:p>
        </w:tc>
      </w:tr>
    </w:tbl>
    <w:p>
      <w:pPr>
        <w:spacing w:line="340" w:lineRule="exact"/>
        <w:ind w:firstLine="435"/>
        <w:jc w:val="center"/>
        <w:rPr>
          <w:rFonts w:eastAsia="宋体"/>
          <w:sz w:val="30"/>
        </w:rPr>
        <w:sectPr>
          <w:pgSz w:w="11907" w:h="16840"/>
          <w:pgMar w:top="1418" w:right="1418" w:bottom="1418" w:left="1418" w:header="851" w:footer="992" w:gutter="0"/>
          <w:cols w:space="720" w:num="1"/>
          <w:docGrid w:linePitch="387" w:charSpace="-5735"/>
        </w:sectPr>
      </w:pPr>
    </w:p>
    <w:p>
      <w:pPr>
        <w:outlineLvl w:val="0"/>
        <w:rPr>
          <w:rFonts w:eastAsia="宋体"/>
          <w:b/>
          <w:szCs w:val="28"/>
        </w:rPr>
      </w:pPr>
      <w:r>
        <w:rPr>
          <w:rFonts w:eastAsia="宋体"/>
          <w:b/>
          <w:szCs w:val="28"/>
        </w:rPr>
        <w:t>九、结论与建议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3076" w:hRule="atLeast"/>
          <w:jc w:val="center"/>
        </w:trPr>
        <w:tc>
          <w:tcPr>
            <w:tcW w:w="9071" w:type="dxa"/>
          </w:tcPr>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7" w:hRule="atLeast"/>
                <w:jc w:val="center"/>
              </w:trPr>
              <w:tc>
                <w:tcPr>
                  <w:tcW w:w="9157" w:type="dxa"/>
                  <w:vAlign w:val="center"/>
                </w:tcPr>
                <w:p>
                  <w:pPr>
                    <w:autoSpaceDE w:val="0"/>
                    <w:autoSpaceDN w:val="0"/>
                    <w:adjustRightInd w:val="0"/>
                    <w:spacing w:line="480" w:lineRule="exact"/>
                    <w:ind w:firstLine="413" w:firstLineChars="147"/>
                    <w:rPr>
                      <w:rFonts w:eastAsia="宋体"/>
                      <w:b/>
                      <w:bCs/>
                      <w:szCs w:val="28"/>
                    </w:rPr>
                  </w:pPr>
                  <w:r>
                    <w:rPr>
                      <w:rFonts w:hint="eastAsia" w:eastAsia="宋体"/>
                      <w:b/>
                      <w:bCs/>
                      <w:szCs w:val="28"/>
                    </w:rPr>
                    <w:t>9.1</w:t>
                  </w:r>
                  <w:r>
                    <w:rPr>
                      <w:rFonts w:eastAsia="宋体"/>
                      <w:b/>
                      <w:bCs/>
                      <w:szCs w:val="28"/>
                    </w:rPr>
                    <w:t>结论</w:t>
                  </w:r>
                </w:p>
                <w:p>
                  <w:pPr>
                    <w:ind w:left="-28" w:firstLine="591"/>
                    <w:rPr>
                      <w:rFonts w:eastAsia="宋体"/>
                      <w:sz w:val="24"/>
                      <w:szCs w:val="24"/>
                    </w:rPr>
                  </w:pPr>
                  <w:r>
                    <w:rPr>
                      <w:rFonts w:hint="eastAsia" w:eastAsia="宋体"/>
                      <w:sz w:val="24"/>
                      <w:szCs w:val="24"/>
                    </w:rPr>
                    <w:t>中国石油天然气股份有限公司江苏宿迁销售分公司投资建设的沭阳县青岛路加油站项目（运营单位：中国石油天然气股份有限公司江苏宿迁沭阳县青岛路加油站）</w:t>
                  </w:r>
                  <w:r>
                    <w:rPr>
                      <w:rFonts w:eastAsia="宋体"/>
                      <w:sz w:val="24"/>
                      <w:szCs w:val="24"/>
                    </w:rPr>
                    <w:t>位于</w:t>
                  </w:r>
                  <w:r>
                    <w:rPr>
                      <w:rFonts w:hint="eastAsia" w:eastAsia="宋体"/>
                      <w:sz w:val="24"/>
                      <w:szCs w:val="24"/>
                    </w:rPr>
                    <w:t>沭阳县青岛路北侧民政局老年公寓东侧</w:t>
                  </w:r>
                  <w:r>
                    <w:rPr>
                      <w:rFonts w:eastAsia="宋体"/>
                      <w:sz w:val="24"/>
                      <w:szCs w:val="24"/>
                    </w:rPr>
                    <w:t>，主要从事成品油（汽油、柴油）的零售业务，</w:t>
                  </w:r>
                  <w:r>
                    <w:rPr>
                      <w:rFonts w:hint="eastAsia" w:eastAsia="宋体"/>
                      <w:sz w:val="24"/>
                      <w:szCs w:val="24"/>
                    </w:rPr>
                    <w:t>汽油年销售量3000吨，柴油年销售量200吨。项目</w:t>
                  </w:r>
                  <w:r>
                    <w:rPr>
                      <w:rFonts w:eastAsia="宋体"/>
                      <w:sz w:val="24"/>
                      <w:szCs w:val="24"/>
                    </w:rPr>
                    <w:t>占地面积</w:t>
                  </w:r>
                  <w:r>
                    <w:rPr>
                      <w:rFonts w:hint="eastAsia" w:eastAsia="宋体"/>
                      <w:sz w:val="24"/>
                      <w:szCs w:val="24"/>
                    </w:rPr>
                    <w:t>2850</w:t>
                  </w:r>
                  <w:r>
                    <w:rPr>
                      <w:rFonts w:eastAsia="宋体"/>
                      <w:sz w:val="24"/>
                      <w:szCs w:val="24"/>
                    </w:rPr>
                    <w:t>m</w:t>
                  </w:r>
                  <w:r>
                    <w:rPr>
                      <w:rFonts w:eastAsia="宋体"/>
                      <w:sz w:val="24"/>
                      <w:szCs w:val="24"/>
                      <w:vertAlign w:val="superscript"/>
                    </w:rPr>
                    <w:t>2</w:t>
                  </w:r>
                  <w:r>
                    <w:rPr>
                      <w:rFonts w:hint="eastAsia" w:eastAsia="宋体"/>
                      <w:sz w:val="24"/>
                      <w:szCs w:val="24"/>
                    </w:rPr>
                    <w:t>，</w:t>
                  </w:r>
                  <w:r>
                    <w:rPr>
                      <w:rFonts w:eastAsia="宋体"/>
                      <w:sz w:val="24"/>
                      <w:szCs w:val="24"/>
                    </w:rPr>
                    <w:t>设</w:t>
                  </w:r>
                  <w:r>
                    <w:rPr>
                      <w:rFonts w:hint="eastAsia" w:eastAsia="宋体"/>
                      <w:sz w:val="24"/>
                      <w:szCs w:val="24"/>
                    </w:rPr>
                    <w:t>3</w:t>
                  </w:r>
                  <w:r>
                    <w:rPr>
                      <w:rFonts w:eastAsia="宋体"/>
                      <w:sz w:val="24"/>
                      <w:szCs w:val="24"/>
                    </w:rPr>
                    <w:t>座30 m</w:t>
                  </w:r>
                  <w:r>
                    <w:rPr>
                      <w:rFonts w:eastAsia="宋体"/>
                      <w:sz w:val="24"/>
                      <w:szCs w:val="24"/>
                      <w:vertAlign w:val="superscript"/>
                    </w:rPr>
                    <w:t>3</w:t>
                  </w:r>
                  <w:r>
                    <w:rPr>
                      <w:rFonts w:eastAsia="宋体"/>
                      <w:sz w:val="24"/>
                      <w:szCs w:val="24"/>
                    </w:rPr>
                    <w:t xml:space="preserve"> /座汽油贮油罐，</w:t>
                  </w:r>
                  <w:r>
                    <w:rPr>
                      <w:rFonts w:hint="eastAsia" w:eastAsia="宋体"/>
                      <w:sz w:val="24"/>
                      <w:szCs w:val="24"/>
                    </w:rPr>
                    <w:t>1</w:t>
                  </w:r>
                  <w:r>
                    <w:rPr>
                      <w:rFonts w:eastAsia="宋体"/>
                      <w:sz w:val="24"/>
                      <w:szCs w:val="24"/>
                    </w:rPr>
                    <w:t>座30 m</w:t>
                  </w:r>
                  <w:r>
                    <w:rPr>
                      <w:rFonts w:eastAsia="宋体"/>
                      <w:sz w:val="24"/>
                      <w:szCs w:val="24"/>
                      <w:vertAlign w:val="superscript"/>
                    </w:rPr>
                    <w:t>3</w:t>
                  </w:r>
                  <w:r>
                    <w:rPr>
                      <w:rFonts w:eastAsia="宋体"/>
                      <w:sz w:val="24"/>
                      <w:szCs w:val="24"/>
                    </w:rPr>
                    <w:t xml:space="preserve"> /座柴油贮油罐；</w:t>
                  </w:r>
                  <w:r>
                    <w:rPr>
                      <w:rFonts w:hint="eastAsia" w:eastAsia="宋体"/>
                      <w:sz w:val="24"/>
                      <w:szCs w:val="24"/>
                    </w:rPr>
                    <w:t>4</w:t>
                  </w:r>
                  <w:r>
                    <w:rPr>
                      <w:rFonts w:eastAsia="宋体"/>
                      <w:sz w:val="24"/>
                      <w:szCs w:val="24"/>
                    </w:rPr>
                    <w:t>台加油</w:t>
                  </w:r>
                  <w:r>
                    <w:rPr>
                      <w:rFonts w:hint="eastAsia" w:eastAsia="宋体"/>
                      <w:sz w:val="24"/>
                      <w:szCs w:val="24"/>
                    </w:rPr>
                    <w:t>机</w:t>
                  </w:r>
                  <w:r>
                    <w:rPr>
                      <w:rFonts w:eastAsia="宋体"/>
                      <w:sz w:val="24"/>
                      <w:szCs w:val="24"/>
                    </w:rPr>
                    <w:t>。</w:t>
                  </w:r>
                </w:p>
                <w:p>
                  <w:pPr>
                    <w:tabs>
                      <w:tab w:val="left" w:pos="360"/>
                    </w:tabs>
                    <w:snapToGrid w:val="0"/>
                    <w:ind w:firstLine="523" w:firstLineChars="218"/>
                    <w:rPr>
                      <w:rFonts w:eastAsia="宋体"/>
                      <w:sz w:val="24"/>
                      <w:szCs w:val="24"/>
                    </w:rPr>
                  </w:pPr>
                  <w:r>
                    <w:rPr>
                      <w:rFonts w:eastAsia="宋体"/>
                      <w:sz w:val="24"/>
                      <w:szCs w:val="24"/>
                    </w:rPr>
                    <w:t>通过</w:t>
                  </w:r>
                  <w:r>
                    <w:rPr>
                      <w:rFonts w:hint="eastAsia" w:eastAsia="宋体"/>
                      <w:sz w:val="24"/>
                      <w:szCs w:val="24"/>
                    </w:rPr>
                    <w:t>对</w:t>
                  </w:r>
                  <w:r>
                    <w:rPr>
                      <w:rFonts w:eastAsia="宋体"/>
                      <w:sz w:val="24"/>
                      <w:szCs w:val="24"/>
                    </w:rPr>
                    <w:t>项目所在区域环境质量现状的评价以及对项目运营期进行的环境影响分析，本评价得出以下结论：</w:t>
                  </w:r>
                </w:p>
                <w:p>
                  <w:pPr>
                    <w:ind w:firstLine="482" w:firstLineChars="200"/>
                    <w:rPr>
                      <w:rFonts w:eastAsia="宋体"/>
                      <w:b/>
                      <w:sz w:val="24"/>
                      <w:szCs w:val="24"/>
                    </w:rPr>
                  </w:pPr>
                  <w:r>
                    <w:rPr>
                      <w:rFonts w:eastAsia="宋体"/>
                      <w:b/>
                      <w:sz w:val="24"/>
                      <w:szCs w:val="24"/>
                    </w:rPr>
                    <w:t>1、项目符合国家产业和江苏省产业政策</w:t>
                  </w:r>
                </w:p>
                <w:p>
                  <w:pPr>
                    <w:ind w:left="-28" w:firstLine="591"/>
                    <w:rPr>
                      <w:rFonts w:eastAsia="宋体"/>
                      <w:sz w:val="24"/>
                      <w:szCs w:val="24"/>
                    </w:rPr>
                  </w:pPr>
                  <w:r>
                    <w:rPr>
                      <w:rFonts w:eastAsia="宋体"/>
                      <w:sz w:val="24"/>
                      <w:szCs w:val="24"/>
                    </w:rPr>
                    <w:t>本项目属机动车燃料零售业，根据《产业结构调整指导目录（201</w:t>
                  </w:r>
                  <w:r>
                    <w:rPr>
                      <w:rFonts w:hint="eastAsia" w:eastAsia="宋体"/>
                      <w:sz w:val="24"/>
                      <w:szCs w:val="24"/>
                    </w:rPr>
                    <w:t>9</w:t>
                  </w:r>
                  <w:r>
                    <w:rPr>
                      <w:rFonts w:eastAsia="宋体"/>
                      <w:sz w:val="24"/>
                      <w:szCs w:val="24"/>
                    </w:rPr>
                    <w:t xml:space="preserve"> 年本）》和《江苏省工业和信息产业结构调整指导目录（2012年本）》（苏政办发[2013]9号）及关于修改《江苏省工业和信息产业结构调整指导目录（2012年本）》部分条目的通知（苏经信产业〔2013〕183号），项目不属于</w:t>
                  </w:r>
                  <w:r>
                    <w:rPr>
                      <w:rFonts w:hint="eastAsia" w:eastAsia="宋体"/>
                      <w:sz w:val="24"/>
                      <w:szCs w:val="24"/>
                    </w:rPr>
                    <w:t>上述文件</w:t>
                  </w:r>
                  <w:r>
                    <w:rPr>
                      <w:rFonts w:eastAsia="宋体"/>
                      <w:sz w:val="24"/>
                      <w:szCs w:val="24"/>
                    </w:rPr>
                    <w:t>中的鼓励类、限制类和淘汰类，属一般允许类，且项目的建设可以充分发挥地方资源优势，发展地方经济，不仅具有良好的经济效益，还具有良好的社会效益，符合地方经济发展的要求。因此，项目建设在产业政策方面是可行的。</w:t>
                  </w:r>
                </w:p>
                <w:p>
                  <w:pPr>
                    <w:ind w:firstLine="480" w:firstLineChars="200"/>
                    <w:rPr>
                      <w:rFonts w:eastAsia="宋体"/>
                      <w:sz w:val="24"/>
                      <w:szCs w:val="24"/>
                    </w:rPr>
                  </w:pPr>
                  <w:r>
                    <w:rPr>
                      <w:rFonts w:eastAsia="宋体"/>
                      <w:bCs/>
                      <w:sz w:val="24"/>
                      <w:szCs w:val="24"/>
                    </w:rPr>
                    <w:t>根据</w:t>
                  </w:r>
                  <w:r>
                    <w:rPr>
                      <w:rFonts w:eastAsia="宋体"/>
                      <w:kern w:val="0"/>
                      <w:sz w:val="24"/>
                      <w:szCs w:val="24"/>
                    </w:rPr>
                    <w:t>《省政府关于印发江苏省生态空间管控区域规划的通知》</w:t>
                  </w:r>
                  <w:r>
                    <w:rPr>
                      <w:rFonts w:eastAsiaTheme="minorEastAsia"/>
                      <w:bCs/>
                      <w:kern w:val="0"/>
                      <w:sz w:val="24"/>
                      <w:szCs w:val="24"/>
                    </w:rPr>
                    <w:t>（苏政发〔2020〕1号）</w:t>
                  </w:r>
                  <w:r>
                    <w:rPr>
                      <w:rFonts w:eastAsia="宋体"/>
                      <w:bCs/>
                      <w:sz w:val="24"/>
                      <w:szCs w:val="24"/>
                    </w:rPr>
                    <w:t>，本项目不在</w:t>
                  </w:r>
                  <w:r>
                    <w:rPr>
                      <w:rFonts w:hint="eastAsia" w:eastAsiaTheme="minorEastAsia"/>
                      <w:bCs/>
                      <w:kern w:val="0"/>
                      <w:sz w:val="24"/>
                      <w:szCs w:val="24"/>
                    </w:rPr>
                    <w:t>不在该生态空间管控区域范围内。因此，本项目的建设不违背《省政府关于印发江苏省生态空间管控区域规划的通知》（苏政发〔</w:t>
                  </w:r>
                  <w:r>
                    <w:rPr>
                      <w:rFonts w:eastAsiaTheme="minorEastAsia"/>
                      <w:bCs/>
                      <w:kern w:val="0"/>
                      <w:sz w:val="24"/>
                      <w:szCs w:val="24"/>
                    </w:rPr>
                    <w:t>2020〕1号）</w:t>
                  </w:r>
                  <w:r>
                    <w:rPr>
                      <w:rFonts w:hint="eastAsia" w:eastAsiaTheme="minorEastAsia"/>
                      <w:bCs/>
                      <w:kern w:val="0"/>
                      <w:sz w:val="24"/>
                      <w:szCs w:val="24"/>
                    </w:rPr>
                    <w:t>及《省政府关于印发江苏省国家级生态保护红线规划的通知》（苏政发〔</w:t>
                  </w:r>
                  <w:r>
                    <w:rPr>
                      <w:rFonts w:eastAsiaTheme="minorEastAsia"/>
                      <w:bCs/>
                      <w:kern w:val="0"/>
                      <w:sz w:val="24"/>
                      <w:szCs w:val="24"/>
                    </w:rPr>
                    <w:t>2018〕74号）</w:t>
                  </w:r>
                  <w:r>
                    <w:rPr>
                      <w:rFonts w:hint="eastAsia" w:eastAsiaTheme="minorEastAsia"/>
                      <w:bCs/>
                      <w:kern w:val="0"/>
                      <w:sz w:val="24"/>
                      <w:szCs w:val="24"/>
                    </w:rPr>
                    <w:t>生态红线相关要求。</w:t>
                  </w:r>
                </w:p>
                <w:p>
                  <w:pPr>
                    <w:adjustRightInd w:val="0"/>
                    <w:snapToGrid w:val="0"/>
                    <w:ind w:firstLine="354" w:firstLineChars="147"/>
                    <w:rPr>
                      <w:rFonts w:eastAsia="宋体"/>
                      <w:b/>
                      <w:sz w:val="24"/>
                      <w:szCs w:val="24"/>
                    </w:rPr>
                  </w:pPr>
                  <w:r>
                    <w:rPr>
                      <w:rFonts w:eastAsia="宋体"/>
                      <w:b/>
                      <w:sz w:val="24"/>
                      <w:szCs w:val="24"/>
                    </w:rPr>
                    <w:t>2、环境质量现状分析</w:t>
                  </w:r>
                </w:p>
                <w:p>
                  <w:pPr>
                    <w:adjustRightInd w:val="0"/>
                    <w:snapToGrid w:val="0"/>
                    <w:ind w:firstLine="480" w:firstLineChars="200"/>
                    <w:rPr>
                      <w:rFonts w:eastAsia="宋体"/>
                      <w:bCs/>
                      <w:sz w:val="24"/>
                      <w:szCs w:val="24"/>
                    </w:rPr>
                  </w:pPr>
                  <w:r>
                    <w:rPr>
                      <w:rFonts w:hint="eastAsia" w:eastAsia="宋体"/>
                      <w:bCs/>
                      <w:sz w:val="24"/>
                      <w:szCs w:val="24"/>
                    </w:rPr>
                    <w:t>2018 年沭阳县环境空气中二氧化硫的年均值、二氧化氮的年均值、O3 的 8 小时平均、CO 的 24 小时平均值，可达到《环境空气质量标准》（GB3095-2012）二级标准；PM10的年均值、PM2.5 的年均值，超过《环境空气质量标准》（GB3095-2012）二级标准，超标倍数分别为 0.086 倍、0.286 倍。项目所在区域 PM10、PM2.超标，因此判定为不达标区。根据大气环境质量达标规划，通过进一步控制扬尘污染，机动车尾气污染防治等措施，大气环境质量状况可以得到进一步改善。</w:t>
                  </w:r>
                </w:p>
                <w:p>
                  <w:pPr>
                    <w:adjustRightInd w:val="0"/>
                    <w:snapToGrid w:val="0"/>
                    <w:ind w:firstLine="480" w:firstLineChars="200"/>
                    <w:rPr>
                      <w:rFonts w:eastAsia="宋体"/>
                      <w:bCs/>
                      <w:sz w:val="24"/>
                      <w:szCs w:val="24"/>
                    </w:rPr>
                  </w:pPr>
                  <w:r>
                    <w:rPr>
                      <w:rFonts w:eastAsia="宋体"/>
                      <w:bCs/>
                      <w:sz w:val="24"/>
                      <w:szCs w:val="24"/>
                    </w:rPr>
                    <w:t>项目纳污水体为沂南河。根据沭阳县环保局发布的2018年1 ~12 月环境质量公报，沂南河监测断面水质各项指标均达《地表水环境质量标准》（GB3838-2002）Ⅳ类标准要求，水体环境良好。</w:t>
                  </w:r>
                </w:p>
                <w:p>
                  <w:pPr>
                    <w:adjustRightInd w:val="0"/>
                    <w:snapToGrid w:val="0"/>
                    <w:ind w:firstLine="480" w:firstLineChars="200"/>
                    <w:rPr>
                      <w:sz w:val="23"/>
                      <w:szCs w:val="23"/>
                    </w:rPr>
                  </w:pPr>
                  <w:r>
                    <w:rPr>
                      <w:rFonts w:eastAsia="宋体"/>
                      <w:bCs/>
                      <w:sz w:val="24"/>
                      <w:szCs w:val="24"/>
                    </w:rPr>
                    <w:t>根据《宿迁市2018年环境状况公报》，</w:t>
                  </w:r>
                  <w:r>
                    <w:rPr>
                      <w:rFonts w:hint="eastAsia" w:eastAsia="宋体"/>
                      <w:bCs/>
                      <w:sz w:val="24"/>
                      <w:szCs w:val="24"/>
                    </w:rPr>
                    <w:t>沭阳县</w:t>
                  </w:r>
                  <w:r>
                    <w:rPr>
                      <w:rFonts w:eastAsia="宋体"/>
                      <w:bCs/>
                      <w:sz w:val="24"/>
                      <w:szCs w:val="24"/>
                    </w:rPr>
                    <w:t>达到《环境噪声监测技术规范城市声环境常规监测》（HJ640-2012）</w:t>
                  </w:r>
                  <w:r>
                    <w:rPr>
                      <w:rFonts w:hint="eastAsia" w:eastAsia="宋体"/>
                      <w:bCs/>
                      <w:sz w:val="24"/>
                      <w:szCs w:val="24"/>
                    </w:rPr>
                    <w:t>三</w:t>
                  </w:r>
                  <w:r>
                    <w:rPr>
                      <w:rFonts w:eastAsia="宋体"/>
                      <w:bCs/>
                      <w:sz w:val="24"/>
                      <w:szCs w:val="24"/>
                    </w:rPr>
                    <w:t>级标准。2018年，对纳入国家土壤监测网的5个背景点位开展土壤环境质量例行监测，并按《土壤环境质量农用地土壤污染风险管控标准》（GB15618-2018）进行风险评估，5个背景点的11个风险筛选项目均小于风险筛选值，全市土壤污染风险低。建设项目所在地无不良辐射环境和生态环境影响。</w:t>
                  </w:r>
                </w:p>
                <w:p>
                  <w:pPr>
                    <w:adjustRightInd w:val="0"/>
                    <w:snapToGrid w:val="0"/>
                    <w:ind w:firstLine="482" w:firstLineChars="200"/>
                    <w:rPr>
                      <w:rFonts w:eastAsia="宋体"/>
                      <w:b/>
                      <w:sz w:val="24"/>
                      <w:szCs w:val="24"/>
                    </w:rPr>
                  </w:pPr>
                  <w:r>
                    <w:rPr>
                      <w:rFonts w:eastAsia="宋体"/>
                      <w:b/>
                      <w:sz w:val="24"/>
                      <w:szCs w:val="24"/>
                    </w:rPr>
                    <w:t>3、</w:t>
                  </w:r>
                  <w:r>
                    <w:rPr>
                      <w:rFonts w:hint="eastAsia" w:eastAsia="宋体"/>
                      <w:b/>
                      <w:sz w:val="24"/>
                      <w:szCs w:val="24"/>
                    </w:rPr>
                    <w:t>营运期</w:t>
                  </w:r>
                  <w:r>
                    <w:rPr>
                      <w:rFonts w:eastAsia="宋体"/>
                      <w:b/>
                      <w:sz w:val="24"/>
                      <w:szCs w:val="24"/>
                    </w:rPr>
                    <w:t>环境影响分析</w:t>
                  </w:r>
                  <w:r>
                    <w:rPr>
                      <w:rFonts w:hint="eastAsia" w:eastAsia="宋体"/>
                      <w:b/>
                      <w:sz w:val="24"/>
                      <w:szCs w:val="24"/>
                    </w:rPr>
                    <w:t>及对策措施</w:t>
                  </w:r>
                </w:p>
                <w:p>
                  <w:pPr>
                    <w:ind w:firstLine="480" w:firstLineChars="200"/>
                    <w:rPr>
                      <w:rFonts w:eastAsia="宋体"/>
                      <w:sz w:val="24"/>
                      <w:szCs w:val="24"/>
                    </w:rPr>
                  </w:pPr>
                  <w:r>
                    <w:rPr>
                      <w:rFonts w:hint="eastAsia" w:eastAsia="宋体"/>
                      <w:sz w:val="24"/>
                      <w:szCs w:val="24"/>
                    </w:rPr>
                    <w:t>本项目运营期大气环境污染主要为非甲烷总烃；水环境污染主要为生活污水；固废方面主要是生活垃圾和油罐清洗废物；声环境影响主要为加油站设备运行噪声。</w:t>
                  </w:r>
                </w:p>
                <w:p>
                  <w:pPr>
                    <w:ind w:firstLine="480" w:firstLineChars="200"/>
                    <w:rPr>
                      <w:rFonts w:eastAsia="宋体"/>
                      <w:sz w:val="24"/>
                      <w:szCs w:val="24"/>
                    </w:rPr>
                  </w:pPr>
                  <w:r>
                    <w:rPr>
                      <w:rFonts w:eastAsia="宋体"/>
                      <w:sz w:val="24"/>
                      <w:szCs w:val="24"/>
                    </w:rPr>
                    <w:t>（1）废气</w:t>
                  </w:r>
                </w:p>
                <w:p>
                  <w:pPr>
                    <w:ind w:firstLine="480" w:firstLineChars="200"/>
                    <w:rPr>
                      <w:rFonts w:eastAsia="宋体"/>
                      <w:sz w:val="24"/>
                      <w:szCs w:val="24"/>
                    </w:rPr>
                  </w:pPr>
                  <w:r>
                    <w:rPr>
                      <w:rFonts w:hint="eastAsia" w:eastAsia="宋体"/>
                      <w:sz w:val="24"/>
                      <w:szCs w:val="24"/>
                    </w:rPr>
                    <w:t>加油站采用地埋式储油罐，油气逸散较少，在采取相应的二级油气回收措施，严格控制油气无组织排放，可大大减少非甲烷总烃类对大气环境的排放量，减少由此而造成的大气污染影响，确保厂界达标，对周围大气环境不会产生明显影响。通过空气自然流通扩散及绿化带的作用，项目内产生的机动车尾气，很快就能被稀释扩散，对周围环境影响较小。</w:t>
                  </w:r>
                </w:p>
                <w:p>
                  <w:pPr>
                    <w:adjustRightInd w:val="0"/>
                    <w:snapToGrid w:val="0"/>
                    <w:ind w:firstLine="480" w:firstLineChars="200"/>
                    <w:rPr>
                      <w:rFonts w:eastAsia="宋体"/>
                      <w:sz w:val="24"/>
                      <w:szCs w:val="24"/>
                    </w:rPr>
                  </w:pPr>
                  <w:r>
                    <w:rPr>
                      <w:rFonts w:eastAsia="宋体"/>
                      <w:sz w:val="24"/>
                      <w:szCs w:val="24"/>
                    </w:rPr>
                    <w:t>（2）废水</w:t>
                  </w:r>
                </w:p>
                <w:p>
                  <w:pPr>
                    <w:pStyle w:val="13"/>
                    <w:adjustRightInd w:val="0"/>
                    <w:snapToGrid w:val="0"/>
                    <w:ind w:firstLine="480" w:firstLineChars="200"/>
                    <w:rPr>
                      <w:rFonts w:ascii="Times New Roman" w:hAnsi="Times New Roman" w:cs="Times New Roman"/>
                      <w:sz w:val="24"/>
                      <w:szCs w:val="24"/>
                    </w:rPr>
                  </w:pPr>
                  <w:r>
                    <w:rPr>
                      <w:rFonts w:hint="eastAsia" w:ascii="Times New Roman" w:hAnsi="Times New Roman" w:cs="Times New Roman"/>
                      <w:sz w:val="24"/>
                      <w:szCs w:val="24"/>
                    </w:rPr>
                    <w:t>项目废水主要为生活污水，</w:t>
                  </w:r>
                  <w:r>
                    <w:rPr>
                      <w:rFonts w:hint="eastAsia"/>
                      <w:kern w:val="0"/>
                      <w:sz w:val="24"/>
                      <w:szCs w:val="24"/>
                    </w:rPr>
                    <w:t>经化粪池处理</w:t>
                  </w:r>
                  <w:r>
                    <w:rPr>
                      <w:bCs/>
                      <w:kern w:val="0"/>
                      <w:sz w:val="24"/>
                      <w:szCs w:val="24"/>
                    </w:rPr>
                    <w:t>达到</w:t>
                  </w:r>
                  <w:r>
                    <w:rPr>
                      <w:rFonts w:hint="eastAsia"/>
                      <w:bCs/>
                      <w:sz w:val="24"/>
                      <w:szCs w:val="24"/>
                    </w:rPr>
                    <w:t>沭阳县城东污水处理厂</w:t>
                  </w:r>
                  <w:r>
                    <w:rPr>
                      <w:bCs/>
                      <w:kern w:val="0"/>
                      <w:sz w:val="24"/>
                      <w:szCs w:val="24"/>
                    </w:rPr>
                    <w:t>接管标准后，经市政污水管网排入</w:t>
                  </w:r>
                  <w:r>
                    <w:rPr>
                      <w:rFonts w:hint="eastAsia"/>
                      <w:bCs/>
                      <w:sz w:val="24"/>
                      <w:szCs w:val="24"/>
                    </w:rPr>
                    <w:t>沭阳县城东污水处理厂</w:t>
                  </w:r>
                  <w:r>
                    <w:rPr>
                      <w:bCs/>
                      <w:kern w:val="0"/>
                      <w:sz w:val="24"/>
                      <w:szCs w:val="24"/>
                    </w:rPr>
                    <w:t>集中处理，尾水</w:t>
                  </w:r>
                  <w:r>
                    <w:rPr>
                      <w:rFonts w:hint="eastAsia"/>
                      <w:bCs/>
                      <w:kern w:val="0"/>
                      <w:sz w:val="24"/>
                      <w:szCs w:val="24"/>
                    </w:rPr>
                    <w:t>执行</w:t>
                  </w:r>
                  <w:r>
                    <w:rPr>
                      <w:bCs/>
                      <w:kern w:val="0"/>
                      <w:sz w:val="24"/>
                      <w:szCs w:val="24"/>
                    </w:rPr>
                    <w:t>《城镇污水处理厂污染物排放标准》（GB18918-2002）表1中一级</w:t>
                  </w:r>
                  <w:r>
                    <w:rPr>
                      <w:rFonts w:hint="eastAsia"/>
                      <w:bCs/>
                      <w:kern w:val="0"/>
                      <w:sz w:val="24"/>
                      <w:szCs w:val="24"/>
                    </w:rPr>
                    <w:t>A</w:t>
                  </w:r>
                  <w:r>
                    <w:rPr>
                      <w:bCs/>
                      <w:kern w:val="0"/>
                      <w:sz w:val="24"/>
                      <w:szCs w:val="24"/>
                    </w:rPr>
                    <w:t>标准</w:t>
                  </w:r>
                  <w:r>
                    <w:rPr>
                      <w:rFonts w:hint="eastAsia"/>
                      <w:kern w:val="0"/>
                      <w:sz w:val="24"/>
                      <w:szCs w:val="24"/>
                    </w:rPr>
                    <w:t>。</w:t>
                  </w:r>
                </w:p>
                <w:p>
                  <w:pPr>
                    <w:autoSpaceDE w:val="0"/>
                    <w:autoSpaceDN w:val="0"/>
                    <w:ind w:firstLine="506" w:firstLineChars="211"/>
                    <w:rPr>
                      <w:rFonts w:eastAsia="宋体"/>
                      <w:sz w:val="24"/>
                      <w:szCs w:val="24"/>
                    </w:rPr>
                  </w:pPr>
                  <w:r>
                    <w:rPr>
                      <w:rFonts w:eastAsia="宋体"/>
                      <w:sz w:val="24"/>
                      <w:szCs w:val="24"/>
                    </w:rPr>
                    <w:t>（3）噪声</w:t>
                  </w:r>
                </w:p>
                <w:p>
                  <w:pPr>
                    <w:ind w:firstLine="480" w:firstLineChars="200"/>
                    <w:rPr>
                      <w:rFonts w:eastAsia="宋体"/>
                      <w:sz w:val="24"/>
                      <w:szCs w:val="24"/>
                    </w:rPr>
                  </w:pPr>
                  <w:r>
                    <w:rPr>
                      <w:rFonts w:eastAsia="宋体"/>
                      <w:sz w:val="24"/>
                      <w:szCs w:val="24"/>
                    </w:rPr>
                    <w:t>该项目主要</w:t>
                  </w:r>
                  <w:r>
                    <w:rPr>
                      <w:rFonts w:hint="eastAsia" w:eastAsia="宋体"/>
                      <w:sz w:val="24"/>
                      <w:szCs w:val="24"/>
                    </w:rPr>
                    <w:t>噪</w:t>
                  </w:r>
                  <w:r>
                    <w:rPr>
                      <w:rFonts w:eastAsia="宋体"/>
                      <w:sz w:val="24"/>
                      <w:szCs w:val="24"/>
                    </w:rPr>
                    <w:t>声源为加油机及机泵等设备产生的噪声</w:t>
                  </w:r>
                  <w:r>
                    <w:rPr>
                      <w:rFonts w:hint="eastAsia" w:eastAsia="宋体"/>
                      <w:sz w:val="24"/>
                      <w:szCs w:val="24"/>
                    </w:rPr>
                    <w:t>及来往车辆噪声</w:t>
                  </w:r>
                  <w:r>
                    <w:rPr>
                      <w:rFonts w:eastAsia="宋体"/>
                      <w:sz w:val="24"/>
                      <w:szCs w:val="24"/>
                    </w:rPr>
                    <w:t>，噪声值大约为</w:t>
                  </w:r>
                  <w:r>
                    <w:rPr>
                      <w:rFonts w:hint="eastAsia" w:eastAsia="宋体"/>
                      <w:sz w:val="24"/>
                      <w:szCs w:val="24"/>
                    </w:rPr>
                    <w:t>60-75</w:t>
                  </w:r>
                  <w:r>
                    <w:rPr>
                      <w:rFonts w:eastAsia="宋体"/>
                      <w:sz w:val="24"/>
                      <w:szCs w:val="24"/>
                    </w:rPr>
                    <w:t>dB（A）之间。通过采取降噪、隔声、设备合理布局等措施</w:t>
                  </w:r>
                  <w:r>
                    <w:rPr>
                      <w:rFonts w:hint="eastAsia" w:eastAsia="宋体"/>
                      <w:sz w:val="24"/>
                      <w:szCs w:val="24"/>
                    </w:rPr>
                    <w:t>且经距离衰减后</w:t>
                  </w:r>
                  <w:r>
                    <w:rPr>
                      <w:rFonts w:eastAsia="宋体"/>
                      <w:sz w:val="24"/>
                      <w:szCs w:val="24"/>
                    </w:rPr>
                    <w:t>，项目厂界噪声可以达到《工业企业厂界环境噪声排放标准》（GB12348-2008）中的</w:t>
                  </w:r>
                  <w:r>
                    <w:rPr>
                      <w:rFonts w:hint="eastAsia" w:eastAsia="宋体"/>
                      <w:sz w:val="24"/>
                      <w:szCs w:val="24"/>
                    </w:rPr>
                    <w:t>2</w:t>
                  </w:r>
                  <w:r>
                    <w:rPr>
                      <w:rFonts w:eastAsia="宋体"/>
                      <w:sz w:val="24"/>
                      <w:szCs w:val="24"/>
                    </w:rPr>
                    <w:t>类要求，对周边环境影响较小。</w:t>
                  </w:r>
                </w:p>
                <w:p>
                  <w:pPr>
                    <w:autoSpaceDE w:val="0"/>
                    <w:autoSpaceDN w:val="0"/>
                    <w:ind w:firstLine="506" w:firstLineChars="211"/>
                    <w:rPr>
                      <w:rFonts w:eastAsia="宋体"/>
                      <w:sz w:val="24"/>
                      <w:szCs w:val="24"/>
                    </w:rPr>
                  </w:pPr>
                  <w:r>
                    <w:rPr>
                      <w:rFonts w:eastAsia="宋体"/>
                      <w:sz w:val="24"/>
                      <w:szCs w:val="24"/>
                    </w:rPr>
                    <w:t>（4）固体废弃物</w:t>
                  </w:r>
                </w:p>
                <w:p>
                  <w:pPr>
                    <w:autoSpaceDE w:val="0"/>
                    <w:autoSpaceDN w:val="0"/>
                    <w:ind w:firstLine="506" w:firstLineChars="211"/>
                    <w:rPr>
                      <w:rFonts w:eastAsia="宋体"/>
                      <w:sz w:val="24"/>
                      <w:szCs w:val="24"/>
                    </w:rPr>
                  </w:pPr>
                  <w:r>
                    <w:rPr>
                      <w:rFonts w:hint="eastAsia" w:eastAsia="宋体"/>
                      <w:sz w:val="24"/>
                      <w:szCs w:val="24"/>
                    </w:rPr>
                    <w:t>项目产生的油罐清洗废物由于量少且清罐频次低，不设专门的危废暂存处贮存。清罐废物在清罐作业完成后由有资质单位及时处理。生活垃圾委托市政环卫部门清运。固体废物做到100%处理，对周围环境影响很小。</w:t>
                  </w:r>
                </w:p>
                <w:p>
                  <w:pPr>
                    <w:ind w:firstLine="480" w:firstLineChars="200"/>
                    <w:rPr>
                      <w:rFonts w:eastAsia="宋体"/>
                      <w:sz w:val="24"/>
                      <w:szCs w:val="24"/>
                    </w:rPr>
                  </w:pPr>
                  <w:r>
                    <w:rPr>
                      <w:rFonts w:hint="eastAsia" w:eastAsia="宋体"/>
                      <w:sz w:val="24"/>
                      <w:szCs w:val="24"/>
                    </w:rPr>
                    <w:t>（5）地下水</w:t>
                  </w:r>
                </w:p>
                <w:p>
                  <w:pPr>
                    <w:ind w:firstLine="480" w:firstLineChars="200"/>
                    <w:rPr>
                      <w:rFonts w:eastAsia="宋体"/>
                      <w:sz w:val="24"/>
                      <w:szCs w:val="24"/>
                    </w:rPr>
                  </w:pPr>
                  <w:r>
                    <w:rPr>
                      <w:rFonts w:hint="eastAsia" w:eastAsia="宋体"/>
                      <w:sz w:val="24"/>
                      <w:szCs w:val="24"/>
                    </w:rPr>
                    <w:t>根据《加油站地下水污染防治技术指南（试行）》（2017 年3 月）要求，为了预防加油站地下水污染，加油站需设置双层罐，同时开展地下水监测，发生事故时立即采取应急处理措施，可有效防止对地下水造成污染。</w:t>
                  </w:r>
                </w:p>
                <w:p>
                  <w:pPr>
                    <w:ind w:firstLine="480" w:firstLineChars="200"/>
                    <w:rPr>
                      <w:rFonts w:eastAsia="宋体"/>
                      <w:sz w:val="24"/>
                      <w:szCs w:val="24"/>
                    </w:rPr>
                  </w:pPr>
                  <w:r>
                    <w:rPr>
                      <w:rFonts w:hint="eastAsia" w:eastAsia="宋体"/>
                      <w:sz w:val="24"/>
                      <w:szCs w:val="24"/>
                    </w:rPr>
                    <w:t>（6）土壤</w:t>
                  </w:r>
                </w:p>
                <w:p>
                  <w:pPr>
                    <w:ind w:firstLine="480" w:firstLineChars="200"/>
                    <w:rPr>
                      <w:rFonts w:eastAsia="宋体"/>
                      <w:sz w:val="24"/>
                      <w:szCs w:val="24"/>
                    </w:rPr>
                  </w:pPr>
                  <w:r>
                    <w:rPr>
                      <w:rFonts w:hint="eastAsia" w:eastAsia="宋体"/>
                      <w:sz w:val="24"/>
                      <w:szCs w:val="24"/>
                    </w:rPr>
                    <w:t>本项目按《汽车加油加气站设计与施工规范》（GB50156-2012，2014 修订）的要求进行设计与施工，储油设备采用内钢外玻璃纤维增强塑料双层油罐，油路管线采用无缝钢管，采用焊接工艺，敷设于地下，钢管和钢罐进行加强级防腐处理，即采用玻璃布、沥青、聚乙烯工业膜等材料做成多层防腐涂层，以防止钢罐和钢管腐蚀造成油品泄漏污染土壤。</w:t>
                  </w:r>
                </w:p>
                <w:p>
                  <w:pPr>
                    <w:adjustRightInd w:val="0"/>
                    <w:snapToGrid w:val="0"/>
                    <w:ind w:firstLine="482" w:firstLineChars="200"/>
                    <w:rPr>
                      <w:rFonts w:eastAsia="宋体"/>
                      <w:b/>
                      <w:sz w:val="24"/>
                      <w:szCs w:val="24"/>
                    </w:rPr>
                  </w:pPr>
                  <w:r>
                    <w:rPr>
                      <w:rFonts w:eastAsia="宋体"/>
                      <w:b/>
                      <w:sz w:val="24"/>
                      <w:szCs w:val="24"/>
                    </w:rPr>
                    <w:t>4、环境风险分析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ind w:firstLine="482" w:firstLineChars="200"/>
                    <w:rPr>
                      <w:rFonts w:eastAsia="宋体"/>
                      <w:b/>
                      <w:sz w:val="24"/>
                      <w:szCs w:val="24"/>
                    </w:rPr>
                  </w:pPr>
                  <w:r>
                    <w:rPr>
                      <w:rFonts w:eastAsia="宋体"/>
                      <w:b/>
                      <w:sz w:val="24"/>
                      <w:szCs w:val="24"/>
                    </w:rPr>
                    <w:t>5、总量控制</w:t>
                  </w:r>
                </w:p>
                <w:p>
                  <w:pPr>
                    <w:autoSpaceDE w:val="0"/>
                    <w:autoSpaceDN w:val="0"/>
                    <w:adjustRightInd w:val="0"/>
                    <w:ind w:left="140" w:leftChars="50" w:right="140" w:rightChars="50" w:firstLine="480" w:firstLineChars="200"/>
                    <w:rPr>
                      <w:rFonts w:eastAsia="宋体"/>
                      <w:kern w:val="0"/>
                      <w:sz w:val="24"/>
                    </w:rPr>
                  </w:pPr>
                  <w:r>
                    <w:rPr>
                      <w:rFonts w:hint="eastAsia" w:eastAsia="宋体"/>
                      <w:kern w:val="0"/>
                      <w:sz w:val="24"/>
                    </w:rPr>
                    <w:t>本项目产生少量生活污水需接管处理。</w:t>
                  </w:r>
                </w:p>
                <w:p>
                  <w:pPr>
                    <w:autoSpaceDE w:val="0"/>
                    <w:autoSpaceDN w:val="0"/>
                    <w:adjustRightInd w:val="0"/>
                    <w:ind w:left="140" w:leftChars="50" w:right="140" w:rightChars="50" w:firstLine="480" w:firstLineChars="200"/>
                    <w:rPr>
                      <w:rFonts w:eastAsia="宋体"/>
                      <w:color w:val="000000"/>
                      <w:kern w:val="0"/>
                      <w:sz w:val="24"/>
                      <w:szCs w:val="24"/>
                    </w:rPr>
                  </w:pPr>
                  <w:r>
                    <w:rPr>
                      <w:rFonts w:hint="eastAsia" w:eastAsia="宋体"/>
                      <w:kern w:val="0"/>
                      <w:sz w:val="24"/>
                    </w:rPr>
                    <w:t>废水：</w:t>
                  </w:r>
                  <w:r>
                    <w:rPr>
                      <w:rFonts w:eastAsia="宋体"/>
                      <w:color w:val="000000"/>
                      <w:sz w:val="24"/>
                      <w:szCs w:val="24"/>
                    </w:rPr>
                    <w:t>废水接管考核量：废水量≤686.4/a、</w:t>
                  </w:r>
                  <w:r>
                    <w:rPr>
                      <w:rFonts w:eastAsia="宋体"/>
                      <w:color w:val="000000"/>
                      <w:kern w:val="0"/>
                      <w:sz w:val="24"/>
                      <w:szCs w:val="24"/>
                    </w:rPr>
                    <w:t>COD≤0.21t/a、SS≤0.14t/a、氨氮≤0.017t/a、TP ≤0.0021t/a、TN ≤0.031t/a，</w:t>
                  </w:r>
                </w:p>
                <w:p>
                  <w:pPr>
                    <w:autoSpaceDE w:val="0"/>
                    <w:autoSpaceDN w:val="0"/>
                    <w:adjustRightInd w:val="0"/>
                    <w:ind w:left="140" w:leftChars="50" w:right="140" w:rightChars="50" w:firstLine="480" w:firstLineChars="200"/>
                  </w:pPr>
                  <w:r>
                    <w:rPr>
                      <w:rFonts w:eastAsia="宋体"/>
                      <w:color w:val="000000"/>
                      <w:sz w:val="24"/>
                      <w:szCs w:val="24"/>
                    </w:rPr>
                    <w:t>废水最终</w:t>
                  </w:r>
                  <w:r>
                    <w:rPr>
                      <w:rFonts w:eastAsia="宋体"/>
                      <w:color w:val="000000"/>
                      <w:kern w:val="0"/>
                      <w:sz w:val="24"/>
                    </w:rPr>
                    <w:t>排放量</w:t>
                  </w:r>
                  <w:r>
                    <w:rPr>
                      <w:rFonts w:eastAsia="宋体"/>
                      <w:color w:val="000000"/>
                      <w:sz w:val="24"/>
                      <w:szCs w:val="24"/>
                    </w:rPr>
                    <w:t>：废水量≤686.4t/a、</w:t>
                  </w:r>
                  <w:r>
                    <w:rPr>
                      <w:rFonts w:eastAsia="宋体"/>
                      <w:color w:val="000000"/>
                      <w:kern w:val="0"/>
                      <w:sz w:val="24"/>
                      <w:szCs w:val="24"/>
                    </w:rPr>
                    <w:t>COD≤0.0034t/a、SS≤0.007t/a、氨氮≤0.0034t/a（0.0055t/a）、TP ≤0.00034t/a、TN≤0.010t/a。</w:t>
                  </w:r>
                </w:p>
                <w:p>
                  <w:pPr>
                    <w:autoSpaceDE w:val="0"/>
                    <w:autoSpaceDN w:val="0"/>
                    <w:adjustRightInd w:val="0"/>
                    <w:ind w:left="140" w:leftChars="50" w:right="140" w:rightChars="50" w:firstLine="480" w:firstLineChars="200"/>
                    <w:rPr>
                      <w:rFonts w:eastAsia="宋体"/>
                      <w:sz w:val="24"/>
                      <w:szCs w:val="24"/>
                    </w:rPr>
                  </w:pPr>
                  <w:r>
                    <w:rPr>
                      <w:rFonts w:eastAsia="宋体"/>
                      <w:kern w:val="0"/>
                      <w:sz w:val="24"/>
                      <w:szCs w:val="24"/>
                    </w:rPr>
                    <w:t>固废：零排放。</w:t>
                  </w:r>
                </w:p>
                <w:p>
                  <w:pPr>
                    <w:autoSpaceDE w:val="0"/>
                    <w:autoSpaceDN w:val="0"/>
                    <w:adjustRightInd w:val="0"/>
                    <w:ind w:firstLine="535" w:firstLineChars="222"/>
                    <w:rPr>
                      <w:rFonts w:eastAsia="宋体"/>
                      <w:b/>
                      <w:sz w:val="24"/>
                      <w:szCs w:val="24"/>
                    </w:rPr>
                  </w:pPr>
                  <w:r>
                    <w:rPr>
                      <w:rFonts w:eastAsia="宋体"/>
                      <w:b/>
                      <w:sz w:val="24"/>
                      <w:szCs w:val="24"/>
                    </w:rPr>
                    <w:t>6、三同时一览表</w:t>
                  </w:r>
                </w:p>
                <w:p>
                  <w:pPr>
                    <w:ind w:firstLine="480" w:firstLineChars="200"/>
                    <w:rPr>
                      <w:rFonts w:eastAsia="宋体"/>
                      <w:sz w:val="24"/>
                      <w:szCs w:val="24"/>
                    </w:rPr>
                  </w:pPr>
                  <w:r>
                    <w:rPr>
                      <w:rFonts w:eastAsia="宋体"/>
                      <w:sz w:val="24"/>
                      <w:szCs w:val="24"/>
                    </w:rPr>
                    <w:t>本项目总投资</w:t>
                  </w:r>
                  <w:r>
                    <w:rPr>
                      <w:rFonts w:hint="eastAsia" w:eastAsia="宋体"/>
                      <w:sz w:val="24"/>
                      <w:szCs w:val="24"/>
                    </w:rPr>
                    <w:t>500</w:t>
                  </w:r>
                  <w:r>
                    <w:rPr>
                      <w:rFonts w:eastAsia="宋体"/>
                      <w:sz w:val="24"/>
                      <w:szCs w:val="24"/>
                    </w:rPr>
                    <w:t>万元，其中环保投资为</w:t>
                  </w:r>
                  <w:r>
                    <w:rPr>
                      <w:rFonts w:hint="eastAsia" w:eastAsia="宋体"/>
                      <w:sz w:val="24"/>
                      <w:szCs w:val="24"/>
                    </w:rPr>
                    <w:t>40</w:t>
                  </w:r>
                  <w:r>
                    <w:rPr>
                      <w:rFonts w:eastAsia="宋体"/>
                      <w:sz w:val="24"/>
                      <w:szCs w:val="24"/>
                    </w:rPr>
                    <w:t>万元，占总投资额的</w:t>
                  </w:r>
                  <w:r>
                    <w:rPr>
                      <w:rFonts w:hint="eastAsia" w:eastAsia="宋体"/>
                      <w:sz w:val="24"/>
                      <w:szCs w:val="24"/>
                    </w:rPr>
                    <w:t>8.0</w:t>
                  </w:r>
                  <w:r>
                    <w:rPr>
                      <w:rFonts w:eastAsia="宋体"/>
                      <w:sz w:val="24"/>
                      <w:szCs w:val="24"/>
                    </w:rPr>
                    <w:t>%，项目环保“三同时”验收详见表9-1。</w:t>
                  </w:r>
                </w:p>
                <w:p>
                  <w:pPr>
                    <w:spacing w:line="500" w:lineRule="exact"/>
                    <w:jc w:val="center"/>
                    <w:rPr>
                      <w:rFonts w:eastAsia="宋体"/>
                      <w:b/>
                      <w:sz w:val="24"/>
                      <w:szCs w:val="24"/>
                    </w:rPr>
                  </w:pPr>
                  <w:r>
                    <w:rPr>
                      <w:rFonts w:eastAsia="宋体"/>
                      <w:b/>
                      <w:sz w:val="24"/>
                      <w:szCs w:val="24"/>
                    </w:rPr>
                    <w:t>表9-1  建设项目环境保护“三同时”验收一览表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1"/>
                    <w:gridCol w:w="1309"/>
                    <w:gridCol w:w="1136"/>
                    <w:gridCol w:w="3153"/>
                    <w:gridCol w:w="2256"/>
                    <w:gridCol w:w="5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tcBorders>
                          <w:bottom w:val="single" w:color="auto" w:sz="2" w:space="0"/>
                        </w:tcBorders>
                        <w:vAlign w:val="center"/>
                      </w:tcPr>
                      <w:p>
                        <w:pPr>
                          <w:spacing w:line="280" w:lineRule="exact"/>
                          <w:jc w:val="center"/>
                          <w:rPr>
                            <w:rFonts w:eastAsia="宋体"/>
                            <w:bCs/>
                            <w:sz w:val="21"/>
                            <w:szCs w:val="21"/>
                          </w:rPr>
                        </w:pPr>
                        <w:r>
                          <w:rPr>
                            <w:rFonts w:eastAsia="宋体"/>
                            <w:bCs/>
                            <w:sz w:val="21"/>
                            <w:szCs w:val="21"/>
                          </w:rPr>
                          <w:t>类别</w:t>
                        </w:r>
                      </w:p>
                    </w:tc>
                    <w:tc>
                      <w:tcPr>
                        <w:tcW w:w="1309" w:type="dxa"/>
                        <w:vAlign w:val="center"/>
                      </w:tcPr>
                      <w:p>
                        <w:pPr>
                          <w:adjustRightInd w:val="0"/>
                          <w:snapToGrid w:val="0"/>
                          <w:spacing w:line="280" w:lineRule="exact"/>
                          <w:jc w:val="center"/>
                          <w:rPr>
                            <w:rFonts w:eastAsia="宋体"/>
                            <w:sz w:val="21"/>
                            <w:szCs w:val="21"/>
                          </w:rPr>
                        </w:pPr>
                        <w:r>
                          <w:rPr>
                            <w:rFonts w:eastAsia="宋体"/>
                            <w:sz w:val="21"/>
                            <w:szCs w:val="21"/>
                          </w:rPr>
                          <w:t>污染源验收点</w:t>
                        </w:r>
                      </w:p>
                    </w:tc>
                    <w:tc>
                      <w:tcPr>
                        <w:tcW w:w="1136" w:type="dxa"/>
                        <w:vAlign w:val="center"/>
                      </w:tcPr>
                      <w:p>
                        <w:pPr>
                          <w:adjustRightInd w:val="0"/>
                          <w:snapToGrid w:val="0"/>
                          <w:spacing w:line="280" w:lineRule="exact"/>
                          <w:jc w:val="center"/>
                          <w:rPr>
                            <w:rFonts w:eastAsia="宋体"/>
                            <w:sz w:val="21"/>
                            <w:szCs w:val="21"/>
                          </w:rPr>
                        </w:pPr>
                        <w:r>
                          <w:rPr>
                            <w:rFonts w:eastAsia="宋体"/>
                            <w:sz w:val="21"/>
                            <w:szCs w:val="21"/>
                          </w:rPr>
                          <w:t>验收因子</w:t>
                        </w:r>
                      </w:p>
                    </w:tc>
                    <w:tc>
                      <w:tcPr>
                        <w:tcW w:w="3153" w:type="dxa"/>
                        <w:vAlign w:val="center"/>
                      </w:tcPr>
                      <w:p>
                        <w:pPr>
                          <w:adjustRightInd w:val="0"/>
                          <w:snapToGrid w:val="0"/>
                          <w:spacing w:line="280" w:lineRule="exact"/>
                          <w:jc w:val="center"/>
                          <w:rPr>
                            <w:rFonts w:eastAsia="宋体"/>
                            <w:sz w:val="21"/>
                            <w:szCs w:val="21"/>
                          </w:rPr>
                        </w:pPr>
                        <w:r>
                          <w:rPr>
                            <w:rFonts w:eastAsia="宋体"/>
                            <w:sz w:val="21"/>
                            <w:szCs w:val="21"/>
                          </w:rPr>
                          <w:t>处理措施验收</w:t>
                        </w:r>
                      </w:p>
                    </w:tc>
                    <w:tc>
                      <w:tcPr>
                        <w:tcW w:w="2256" w:type="dxa"/>
                        <w:vAlign w:val="center"/>
                      </w:tcPr>
                      <w:p>
                        <w:pPr>
                          <w:adjustRightInd w:val="0"/>
                          <w:snapToGrid w:val="0"/>
                          <w:spacing w:line="280" w:lineRule="exact"/>
                          <w:jc w:val="center"/>
                          <w:rPr>
                            <w:rFonts w:eastAsia="宋体"/>
                            <w:sz w:val="21"/>
                            <w:szCs w:val="21"/>
                          </w:rPr>
                        </w:pPr>
                        <w:r>
                          <w:rPr>
                            <w:rFonts w:eastAsia="宋体"/>
                            <w:sz w:val="21"/>
                            <w:szCs w:val="21"/>
                          </w:rPr>
                          <w:t>执行标准</w:t>
                        </w:r>
                      </w:p>
                    </w:tc>
                    <w:tc>
                      <w:tcPr>
                        <w:tcW w:w="576" w:type="dxa"/>
                        <w:vAlign w:val="center"/>
                      </w:tcPr>
                      <w:p>
                        <w:pPr>
                          <w:spacing w:line="280" w:lineRule="exact"/>
                          <w:jc w:val="center"/>
                          <w:rPr>
                            <w:rFonts w:eastAsia="宋体"/>
                            <w:bCs/>
                            <w:sz w:val="21"/>
                            <w:szCs w:val="21"/>
                          </w:rPr>
                        </w:pPr>
                        <w:r>
                          <w:rPr>
                            <w:rFonts w:eastAsia="宋体"/>
                            <w:bCs/>
                            <w:sz w:val="21"/>
                            <w:szCs w:val="21"/>
                          </w:rPr>
                          <w:t>完成时间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restart"/>
                        <w:tcBorders>
                          <w:top w:val="single" w:color="auto" w:sz="2" w:space="0"/>
                        </w:tcBorders>
                        <w:vAlign w:val="center"/>
                      </w:tcPr>
                      <w:p>
                        <w:pPr>
                          <w:spacing w:line="280" w:lineRule="exact"/>
                          <w:jc w:val="center"/>
                          <w:rPr>
                            <w:rFonts w:eastAsia="宋体"/>
                            <w:bCs/>
                            <w:sz w:val="21"/>
                            <w:szCs w:val="21"/>
                          </w:rPr>
                        </w:pPr>
                        <w:r>
                          <w:rPr>
                            <w:rFonts w:eastAsia="宋体"/>
                            <w:bCs/>
                            <w:sz w:val="21"/>
                            <w:szCs w:val="21"/>
                          </w:rPr>
                          <w:t>本项目</w:t>
                        </w:r>
                      </w:p>
                    </w:tc>
                    <w:tc>
                      <w:tcPr>
                        <w:tcW w:w="1309" w:type="dxa"/>
                        <w:vAlign w:val="center"/>
                      </w:tcPr>
                      <w:p>
                        <w:pPr>
                          <w:spacing w:line="280" w:lineRule="exact"/>
                          <w:jc w:val="center"/>
                          <w:rPr>
                            <w:rFonts w:eastAsia="宋体"/>
                            <w:bCs/>
                            <w:sz w:val="21"/>
                            <w:szCs w:val="21"/>
                          </w:rPr>
                        </w:pPr>
                        <w:r>
                          <w:rPr>
                            <w:rFonts w:eastAsia="宋体"/>
                            <w:bCs/>
                            <w:sz w:val="21"/>
                            <w:szCs w:val="21"/>
                          </w:rPr>
                          <w:t>接卸油、储罐、加油机</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非甲烷总烃</w:t>
                        </w:r>
                      </w:p>
                    </w:tc>
                    <w:tc>
                      <w:tcPr>
                        <w:tcW w:w="3153" w:type="dxa"/>
                        <w:tcBorders>
                          <w:top w:val="single" w:color="auto" w:sz="4" w:space="0"/>
                          <w:bottom w:val="single" w:color="auto" w:sz="4" w:space="0"/>
                        </w:tcBorders>
                        <w:vAlign w:val="center"/>
                      </w:tcPr>
                      <w:p>
                        <w:pPr>
                          <w:snapToGrid w:val="0"/>
                          <w:spacing w:line="280" w:lineRule="exact"/>
                          <w:jc w:val="center"/>
                          <w:rPr>
                            <w:rFonts w:eastAsia="宋体"/>
                            <w:bCs/>
                            <w:sz w:val="21"/>
                            <w:szCs w:val="21"/>
                          </w:rPr>
                        </w:pPr>
                        <w:r>
                          <w:rPr>
                            <w:rFonts w:hint="eastAsia" w:eastAsia="宋体"/>
                            <w:bCs/>
                            <w:sz w:val="21"/>
                            <w:szCs w:val="21"/>
                          </w:rPr>
                          <w:t>二级</w:t>
                        </w:r>
                        <w:r>
                          <w:rPr>
                            <w:rFonts w:eastAsia="宋体"/>
                            <w:bCs/>
                            <w:sz w:val="21"/>
                            <w:szCs w:val="21"/>
                          </w:rPr>
                          <w:t>油气回收系统</w:t>
                        </w:r>
                      </w:p>
                    </w:tc>
                    <w:tc>
                      <w:tcPr>
                        <w:tcW w:w="2256" w:type="dxa"/>
                        <w:vAlign w:val="center"/>
                      </w:tcPr>
                      <w:p>
                        <w:pPr>
                          <w:snapToGrid w:val="0"/>
                          <w:spacing w:line="280" w:lineRule="exact"/>
                          <w:jc w:val="center"/>
                          <w:rPr>
                            <w:rFonts w:eastAsia="宋体"/>
                            <w:bCs/>
                            <w:sz w:val="21"/>
                            <w:szCs w:val="21"/>
                          </w:rP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c>
                      <w:tcPr>
                        <w:tcW w:w="576" w:type="dxa"/>
                        <w:vMerge w:val="restart"/>
                        <w:vAlign w:val="center"/>
                      </w:tcPr>
                      <w:p>
                        <w:pPr>
                          <w:spacing w:line="280" w:lineRule="exact"/>
                          <w:jc w:val="center"/>
                          <w:rPr>
                            <w:rFonts w:eastAsia="宋体"/>
                            <w:bCs/>
                            <w:sz w:val="21"/>
                            <w:szCs w:val="21"/>
                          </w:rPr>
                        </w:pPr>
                        <w:r>
                          <w:rPr>
                            <w:rFonts w:eastAsia="宋体"/>
                            <w:bCs/>
                            <w:sz w:val="21"/>
                            <w:szCs w:val="21"/>
                          </w:rPr>
                          <w:t>与主体工程同时设计、同时施工、同时运行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生活污水</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COD、SS、NH</w:t>
                        </w:r>
                        <w:r>
                          <w:rPr>
                            <w:rFonts w:eastAsia="宋体"/>
                            <w:bCs/>
                            <w:sz w:val="21"/>
                            <w:szCs w:val="21"/>
                            <w:vertAlign w:val="subscript"/>
                          </w:rPr>
                          <w:t>3</w:t>
                        </w:r>
                        <w:r>
                          <w:rPr>
                            <w:rFonts w:eastAsia="宋体"/>
                            <w:bCs/>
                            <w:sz w:val="21"/>
                            <w:szCs w:val="21"/>
                          </w:rPr>
                          <w:t>-N、TP</w:t>
                        </w:r>
                        <w:r>
                          <w:rPr>
                            <w:rFonts w:hint="eastAsia" w:eastAsia="宋体"/>
                            <w:bCs/>
                            <w:sz w:val="21"/>
                            <w:szCs w:val="21"/>
                          </w:rPr>
                          <w:t>、TN</w:t>
                        </w:r>
                      </w:p>
                    </w:tc>
                    <w:tc>
                      <w:tcPr>
                        <w:tcW w:w="3153"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化粪池</w:t>
                        </w:r>
                      </w:p>
                    </w:tc>
                    <w:tc>
                      <w:tcPr>
                        <w:tcW w:w="2256" w:type="dxa"/>
                        <w:vAlign w:val="center"/>
                      </w:tcPr>
                      <w:p>
                        <w:pPr>
                          <w:adjustRightInd w:val="0"/>
                          <w:snapToGrid w:val="0"/>
                          <w:spacing w:line="320" w:lineRule="exact"/>
                          <w:jc w:val="center"/>
                          <w:rPr>
                            <w:rFonts w:eastAsia="宋体"/>
                            <w:bCs/>
                            <w:sz w:val="21"/>
                            <w:szCs w:val="21"/>
                          </w:rPr>
                        </w:pPr>
                        <w:r>
                          <w:rPr>
                            <w:rFonts w:hint="eastAsia" w:eastAsia="宋体"/>
                            <w:sz w:val="21"/>
                            <w:szCs w:val="21"/>
                          </w:rPr>
                          <w:t>满足</w:t>
                        </w:r>
                        <w:r>
                          <w:rPr>
                            <w:rFonts w:hint="eastAsia" w:eastAsia="宋体"/>
                            <w:bCs/>
                            <w:sz w:val="21"/>
                            <w:szCs w:val="21"/>
                          </w:rPr>
                          <w:t>沭阳县城东污水处理厂接管标准</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地下水</w:t>
                        </w:r>
                      </w:p>
                    </w:tc>
                    <w:tc>
                      <w:tcPr>
                        <w:tcW w:w="1136"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石油类</w:t>
                        </w:r>
                      </w:p>
                    </w:tc>
                    <w:tc>
                      <w:tcPr>
                        <w:tcW w:w="3153"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双层储油罐、埋地管道均采用环氧煤沥青加强级防腐处理；设置防漏罐池，把油罐放置在防漏罐池内，双层油罐、防渗罐池的渗漏检测采用在线监测系统</w:t>
                        </w:r>
                      </w:p>
                    </w:tc>
                    <w:tc>
                      <w:tcPr>
                        <w:tcW w:w="2256" w:type="dxa"/>
                        <w:vAlign w:val="center"/>
                      </w:tcPr>
                      <w:p>
                        <w:pPr>
                          <w:adjustRightInd w:val="0"/>
                          <w:snapToGrid w:val="0"/>
                          <w:spacing w:line="320" w:lineRule="exact"/>
                          <w:jc w:val="center"/>
                          <w:rPr>
                            <w:rFonts w:eastAsia="宋体"/>
                            <w:bCs/>
                            <w:sz w:val="21"/>
                            <w:szCs w:val="21"/>
                          </w:rPr>
                        </w:pPr>
                        <w:r>
                          <w:rPr>
                            <w:rFonts w:eastAsia="宋体"/>
                            <w:bCs/>
                            <w:sz w:val="21"/>
                            <w:szCs w:val="21"/>
                          </w:rPr>
                          <w:t>满足环保要求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固废</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生活垃圾</w:t>
                        </w:r>
                        <w:r>
                          <w:rPr>
                            <w:rFonts w:hint="eastAsia" w:eastAsia="宋体"/>
                            <w:sz w:val="21"/>
                            <w:szCs w:val="21"/>
                          </w:rPr>
                          <w:t>；</w:t>
                        </w:r>
                        <w:r>
                          <w:rPr>
                            <w:rFonts w:eastAsia="宋体"/>
                            <w:bCs/>
                            <w:sz w:val="21"/>
                            <w:szCs w:val="21"/>
                          </w:rPr>
                          <w:t>废油、油渣</w:t>
                        </w:r>
                      </w:p>
                    </w:tc>
                    <w:tc>
                      <w:tcPr>
                        <w:tcW w:w="3153"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hint="eastAsia" w:eastAsia="宋体"/>
                            <w:sz w:val="21"/>
                            <w:szCs w:val="21"/>
                          </w:rPr>
                          <w:t>生活垃圾委托环卫部门定期清运</w:t>
                        </w:r>
                        <w:r>
                          <w:rPr>
                            <w:rFonts w:hint="eastAsia" w:eastAsia="宋体"/>
                            <w:bCs/>
                            <w:sz w:val="21"/>
                            <w:szCs w:val="21"/>
                          </w:rPr>
                          <w:t>；</w:t>
                        </w:r>
                        <w:r>
                          <w:rPr>
                            <w:rFonts w:eastAsia="宋体"/>
                            <w:bCs/>
                            <w:sz w:val="21"/>
                            <w:szCs w:val="21"/>
                          </w:rPr>
                          <w:t>废油、油渣委托有资质单位安全处置</w:t>
                        </w:r>
                      </w:p>
                    </w:tc>
                    <w:tc>
                      <w:tcPr>
                        <w:tcW w:w="22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sz w:val="21"/>
                            <w:szCs w:val="21"/>
                          </w:rPr>
                        </w:pPr>
                        <w:r>
                          <w:rPr>
                            <w:rFonts w:eastAsia="宋体"/>
                            <w:bCs/>
                            <w:sz w:val="21"/>
                            <w:szCs w:val="21"/>
                          </w:rPr>
                          <w:t>噪声</w:t>
                        </w:r>
                      </w:p>
                    </w:tc>
                    <w:tc>
                      <w:tcPr>
                        <w:tcW w:w="1136" w:type="dxa"/>
                        <w:vAlign w:val="center"/>
                      </w:tcPr>
                      <w:p>
                        <w:pPr>
                          <w:spacing w:line="280" w:lineRule="exact"/>
                          <w:jc w:val="center"/>
                          <w:rPr>
                            <w:rFonts w:eastAsia="宋体"/>
                            <w:bCs/>
                            <w:sz w:val="21"/>
                            <w:szCs w:val="21"/>
                          </w:rPr>
                        </w:pPr>
                        <w:r>
                          <w:rPr>
                            <w:rFonts w:eastAsia="宋体"/>
                            <w:bCs/>
                            <w:sz w:val="21"/>
                            <w:szCs w:val="21"/>
                          </w:rPr>
                          <w:t>加油车辆、加油机及各种泵类设备</w:t>
                        </w:r>
                      </w:p>
                    </w:tc>
                    <w:tc>
                      <w:tcPr>
                        <w:tcW w:w="3153" w:type="dxa"/>
                        <w:vAlign w:val="center"/>
                      </w:tcPr>
                      <w:p>
                        <w:pPr>
                          <w:spacing w:line="280" w:lineRule="exact"/>
                          <w:jc w:val="center"/>
                          <w:rPr>
                            <w:rFonts w:eastAsia="宋体"/>
                            <w:bCs/>
                            <w:sz w:val="21"/>
                            <w:szCs w:val="21"/>
                          </w:rPr>
                        </w:pPr>
                        <w:r>
                          <w:rPr>
                            <w:rFonts w:eastAsia="宋体"/>
                            <w:bCs/>
                            <w:sz w:val="21"/>
                            <w:szCs w:val="21"/>
                          </w:rPr>
                          <w:t>降噪、隔声、设备合理布局</w:t>
                        </w:r>
                      </w:p>
                    </w:tc>
                    <w:tc>
                      <w:tcPr>
                        <w:tcW w:w="2256" w:type="dxa"/>
                        <w:vAlign w:val="center"/>
                      </w:tcPr>
                      <w:p>
                        <w:pPr>
                          <w:spacing w:line="280" w:lineRule="exact"/>
                          <w:jc w:val="center"/>
                          <w:rPr>
                            <w:rFonts w:eastAsia="宋体"/>
                            <w:bCs/>
                            <w:sz w:val="21"/>
                            <w:szCs w:val="21"/>
                          </w:rPr>
                        </w:pPr>
                        <w:r>
                          <w:rPr>
                            <w:rFonts w:eastAsia="宋体"/>
                            <w:bCs/>
                            <w:sz w:val="21"/>
                            <w:szCs w:val="21"/>
                          </w:rPr>
                          <w:t>厂界噪声满足《工业企业厂界环境噪声排放标准》（GB12348-2008）中的</w:t>
                        </w:r>
                        <w:r>
                          <w:rPr>
                            <w:rFonts w:hint="eastAsia" w:eastAsia="宋体"/>
                            <w:bCs/>
                            <w:sz w:val="21"/>
                            <w:szCs w:val="21"/>
                          </w:rPr>
                          <w:t>2</w:t>
                        </w:r>
                        <w:r>
                          <w:rPr>
                            <w:rFonts w:eastAsia="宋体"/>
                            <w:bCs/>
                            <w:sz w:val="21"/>
                            <w:szCs w:val="21"/>
                          </w:rPr>
                          <w:t>类标准值</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风险</w:t>
                        </w:r>
                      </w:p>
                    </w:tc>
                    <w:tc>
                      <w:tcPr>
                        <w:tcW w:w="1136" w:type="dxa"/>
                        <w:vAlign w:val="center"/>
                      </w:tcPr>
                      <w:p>
                        <w:pPr>
                          <w:spacing w:line="280" w:lineRule="exact"/>
                          <w:jc w:val="center"/>
                          <w:rPr>
                            <w:rFonts w:eastAsia="宋体"/>
                            <w:bCs/>
                            <w:sz w:val="21"/>
                            <w:szCs w:val="21"/>
                          </w:rPr>
                        </w:pPr>
                        <w:r>
                          <w:rPr>
                            <w:rFonts w:eastAsia="宋体"/>
                            <w:bCs/>
                            <w:sz w:val="21"/>
                            <w:szCs w:val="21"/>
                          </w:rPr>
                          <w:t>/</w:t>
                        </w:r>
                      </w:p>
                    </w:tc>
                    <w:tc>
                      <w:tcPr>
                        <w:tcW w:w="3153" w:type="dxa"/>
                        <w:vAlign w:val="center"/>
                      </w:tcPr>
                      <w:p>
                        <w:pPr>
                          <w:spacing w:line="280" w:lineRule="exact"/>
                          <w:jc w:val="center"/>
                          <w:rPr>
                            <w:rFonts w:eastAsia="宋体"/>
                            <w:bCs/>
                            <w:sz w:val="21"/>
                            <w:szCs w:val="21"/>
                          </w:rPr>
                        </w:pPr>
                        <w:r>
                          <w:rPr>
                            <w:rFonts w:eastAsia="宋体"/>
                            <w:bCs/>
                            <w:sz w:val="21"/>
                            <w:szCs w:val="21"/>
                          </w:rPr>
                          <w:t>设置泄漏在线监测报警系统；制定环境应急预案，加强应急演练；定期补充更换应急物资等</w:t>
                        </w:r>
                      </w:p>
                    </w:tc>
                    <w:tc>
                      <w:tcPr>
                        <w:tcW w:w="22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3"/>
                        <w:vAlign w:val="center"/>
                      </w:tcPr>
                      <w:p>
                        <w:pPr>
                          <w:spacing w:line="280" w:lineRule="exact"/>
                          <w:jc w:val="center"/>
                          <w:rPr>
                            <w:rFonts w:eastAsia="宋体"/>
                            <w:bCs/>
                            <w:sz w:val="21"/>
                            <w:szCs w:val="21"/>
                          </w:rPr>
                        </w:pPr>
                        <w:r>
                          <w:rPr>
                            <w:rFonts w:eastAsia="宋体"/>
                            <w:bCs/>
                            <w:sz w:val="21"/>
                            <w:szCs w:val="21"/>
                          </w:rPr>
                          <w:t>清污分流、排污口规范化设置</w:t>
                        </w:r>
                      </w:p>
                    </w:tc>
                    <w:tc>
                      <w:tcPr>
                        <w:tcW w:w="3153" w:type="dxa"/>
                        <w:vAlign w:val="center"/>
                      </w:tcPr>
                      <w:p>
                        <w:pPr>
                          <w:spacing w:line="280" w:lineRule="exact"/>
                          <w:jc w:val="center"/>
                          <w:rPr>
                            <w:rFonts w:eastAsia="宋体"/>
                            <w:bCs/>
                            <w:sz w:val="21"/>
                            <w:szCs w:val="21"/>
                          </w:rPr>
                        </w:pPr>
                        <w:r>
                          <w:rPr>
                            <w:rFonts w:eastAsia="宋体"/>
                            <w:bCs/>
                            <w:sz w:val="21"/>
                            <w:szCs w:val="21"/>
                          </w:rPr>
                          <w:t>排污口规范化设置，雨污分流</w:t>
                        </w:r>
                      </w:p>
                    </w:tc>
                    <w:tc>
                      <w:tcPr>
                        <w:tcW w:w="2832" w:type="dxa"/>
                        <w:gridSpan w:val="2"/>
                        <w:vAlign w:val="center"/>
                      </w:tcPr>
                      <w:p>
                        <w:pPr>
                          <w:spacing w:line="280" w:lineRule="exact"/>
                          <w:jc w:val="center"/>
                          <w:rPr>
                            <w:rFonts w:eastAsia="宋体"/>
                            <w:bCs/>
                            <w:sz w:val="21"/>
                            <w:szCs w:val="21"/>
                          </w:rPr>
                        </w:pPr>
                        <w:r>
                          <w:rPr>
                            <w:rFonts w:eastAsia="宋体"/>
                            <w:sz w:val="21"/>
                            <w:szCs w:val="21"/>
                          </w:rPr>
                          <w:t>满足《江苏省排污口设置及规范化整治管理办法》的要求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3"/>
                        <w:vAlign w:val="center"/>
                      </w:tcPr>
                      <w:p>
                        <w:pPr>
                          <w:spacing w:line="280" w:lineRule="exact"/>
                          <w:jc w:val="center"/>
                          <w:rPr>
                            <w:rFonts w:eastAsia="宋体"/>
                            <w:bCs/>
                            <w:sz w:val="21"/>
                            <w:szCs w:val="21"/>
                          </w:rPr>
                        </w:pPr>
                        <w:r>
                          <w:rPr>
                            <w:rFonts w:eastAsia="宋体"/>
                            <w:sz w:val="21"/>
                            <w:szCs w:val="21"/>
                          </w:rPr>
                          <w:t>总量平衡具体方案</w:t>
                        </w:r>
                      </w:p>
                    </w:tc>
                    <w:tc>
                      <w:tcPr>
                        <w:tcW w:w="5985" w:type="dxa"/>
                        <w:gridSpan w:val="3"/>
                        <w:vAlign w:val="center"/>
                      </w:tcPr>
                      <w:p>
                        <w:pPr>
                          <w:spacing w:line="280" w:lineRule="exact"/>
                          <w:rPr>
                            <w:rFonts w:eastAsia="宋体"/>
                            <w:sz w:val="21"/>
                            <w:szCs w:val="21"/>
                          </w:rPr>
                        </w:pPr>
                        <w:r>
                          <w:rPr>
                            <w:rFonts w:hint="eastAsia" w:eastAsia="宋体"/>
                            <w:sz w:val="21"/>
                            <w:szCs w:val="21"/>
                          </w:rPr>
                          <w:t>废水：废水接管考核量：废水接管考核量：废水量≤686.4/a、COD≤0.21t/a、SS≤0.14t/a、氨氮≤0.017t/a、TP ≤0.0021t/a、TN ≤0.031t/a，</w:t>
                        </w:r>
                      </w:p>
                      <w:p>
                        <w:pPr>
                          <w:spacing w:line="280" w:lineRule="exact"/>
                          <w:rPr>
                            <w:rFonts w:eastAsia="宋体"/>
                            <w:sz w:val="21"/>
                            <w:szCs w:val="21"/>
                          </w:rPr>
                        </w:pPr>
                        <w:r>
                          <w:rPr>
                            <w:rFonts w:hint="eastAsia" w:eastAsia="宋体"/>
                            <w:sz w:val="21"/>
                            <w:szCs w:val="21"/>
                          </w:rPr>
                          <w:t>废水最终排放量：废水量≤686.4t/a、COD≤0.0034t/a、SS≤0.007t/a、氨氮≤0.0034t/a（0.0055t/a）、TP ≤0.00034t/a、TN≤0.010t/a。</w:t>
                        </w:r>
                      </w:p>
                      <w:p>
                        <w:pPr>
                          <w:spacing w:line="280" w:lineRule="exact"/>
                          <w:rPr>
                            <w:rFonts w:eastAsia="宋体"/>
                            <w:bCs/>
                            <w:sz w:val="21"/>
                            <w:szCs w:val="21"/>
                          </w:rPr>
                        </w:pPr>
                        <w:r>
                          <w:rPr>
                            <w:rFonts w:hint="eastAsia" w:eastAsia="宋体"/>
                            <w:sz w:val="21"/>
                            <w:szCs w:val="21"/>
                          </w:rPr>
                          <w:t>固废：零排放。</w:t>
                        </w:r>
                      </w:p>
                    </w:tc>
                  </w:tr>
                </w:tbl>
                <w:p>
                  <w:pPr>
                    <w:autoSpaceDE w:val="0"/>
                    <w:autoSpaceDN w:val="0"/>
                    <w:adjustRightInd w:val="0"/>
                    <w:spacing w:line="500" w:lineRule="exact"/>
                    <w:ind w:firstLine="535" w:firstLineChars="222"/>
                    <w:rPr>
                      <w:rFonts w:eastAsia="宋体"/>
                      <w:b/>
                      <w:bCs/>
                      <w:sz w:val="24"/>
                      <w:szCs w:val="24"/>
                    </w:rPr>
                  </w:pPr>
                  <w:r>
                    <w:rPr>
                      <w:rFonts w:eastAsia="宋体"/>
                      <w:b/>
                      <w:bCs/>
                      <w:sz w:val="24"/>
                      <w:szCs w:val="24"/>
                    </w:rPr>
                    <w:t>综上所述，项目的建设符合国家</w:t>
                  </w:r>
                  <w:r>
                    <w:rPr>
                      <w:rFonts w:hint="eastAsia" w:eastAsia="宋体"/>
                      <w:b/>
                      <w:bCs/>
                      <w:sz w:val="24"/>
                      <w:szCs w:val="24"/>
                    </w:rPr>
                    <w:t>及地方</w:t>
                  </w:r>
                  <w:r>
                    <w:rPr>
                      <w:rFonts w:eastAsia="宋体"/>
                      <w:b/>
                      <w:bCs/>
                      <w:sz w:val="24"/>
                      <w:szCs w:val="24"/>
                    </w:rPr>
                    <w:t>产业政策，选址合理，在正常</w:t>
                  </w:r>
                  <w:r>
                    <w:rPr>
                      <w:rFonts w:hint="eastAsia" w:eastAsia="宋体"/>
                      <w:b/>
                      <w:bCs/>
                      <w:sz w:val="24"/>
                      <w:szCs w:val="24"/>
                    </w:rPr>
                    <w:t>营运</w:t>
                  </w:r>
                  <w:r>
                    <w:rPr>
                      <w:rFonts w:eastAsia="宋体"/>
                      <w:b/>
                      <w:bCs/>
                      <w:sz w:val="24"/>
                      <w:szCs w:val="24"/>
                    </w:rPr>
                    <w:t>期间，</w:t>
                  </w:r>
                  <w:r>
                    <w:rPr>
                      <w:rFonts w:hint="eastAsia" w:eastAsia="宋体"/>
                      <w:b/>
                      <w:bCs/>
                      <w:sz w:val="24"/>
                      <w:szCs w:val="24"/>
                    </w:rPr>
                    <w:t>只要认真落实本项目环境影响报告的减缓措施及建议，项目的环境影响将得到有效控制。从环境保护角度分析，本项目的建设是可行的。</w:t>
                  </w:r>
                </w:p>
                <w:p>
                  <w:pPr>
                    <w:autoSpaceDE w:val="0"/>
                    <w:autoSpaceDN w:val="0"/>
                    <w:adjustRightInd w:val="0"/>
                    <w:spacing w:line="500" w:lineRule="exact"/>
                    <w:rPr>
                      <w:rFonts w:eastAsia="宋体"/>
                      <w:b/>
                      <w:sz w:val="24"/>
                      <w:szCs w:val="24"/>
                    </w:rPr>
                  </w:pPr>
                  <w:r>
                    <w:rPr>
                      <w:rFonts w:eastAsia="宋体"/>
                      <w:b/>
                      <w:sz w:val="24"/>
                      <w:szCs w:val="24"/>
                    </w:rPr>
                    <w:t>二、建议</w:t>
                  </w:r>
                </w:p>
                <w:p>
                  <w:pPr>
                    <w:spacing w:line="500" w:lineRule="exact"/>
                    <w:ind w:firstLine="480" w:firstLineChars="200"/>
                    <w:rPr>
                      <w:rFonts w:eastAsia="宋体"/>
                      <w:bCs/>
                      <w:sz w:val="24"/>
                      <w:szCs w:val="24"/>
                    </w:rPr>
                  </w:pPr>
                  <w:r>
                    <w:rPr>
                      <w:rFonts w:eastAsia="宋体"/>
                      <w:bCs/>
                      <w:sz w:val="24"/>
                      <w:szCs w:val="24"/>
                    </w:rPr>
                    <w:t>1、建设单位应当加强日常环境管理工作，提高员工的环保意识与自身素质。</w:t>
                  </w:r>
                </w:p>
                <w:p>
                  <w:pPr>
                    <w:spacing w:line="500" w:lineRule="exact"/>
                    <w:ind w:firstLine="480" w:firstLineChars="200"/>
                    <w:rPr>
                      <w:rFonts w:eastAsia="宋体"/>
                      <w:bCs/>
                      <w:sz w:val="24"/>
                      <w:szCs w:val="24"/>
                    </w:rPr>
                  </w:pPr>
                  <w:r>
                    <w:rPr>
                      <w:rFonts w:eastAsia="宋体"/>
                      <w:bCs/>
                      <w:sz w:val="24"/>
                      <w:szCs w:val="24"/>
                    </w:rPr>
                    <w:t>2、</w:t>
                  </w:r>
                  <w:r>
                    <w:rPr>
                      <w:rFonts w:hint="eastAsia" w:eastAsia="宋体"/>
                      <w:bCs/>
                      <w:sz w:val="24"/>
                      <w:szCs w:val="24"/>
                    </w:rPr>
                    <w:t>对油料的运输贮存、输送设备应加强管理与维护，杜绝出现各有关设备跑、冒、漏现象和人为导致的安全事故。对可能产生泄漏的储油设备，应加建防泄漏设施和油品收集设施。万一发生事故后必须及时通知安全、消防、生态环境行政主管部门，共同防止安全和污染事故事态的扩大。加油站必须制定事故预案，配备相应的专业防火和应急器材。</w:t>
                  </w:r>
                </w:p>
                <w:p>
                  <w:pPr>
                    <w:spacing w:line="500" w:lineRule="exact"/>
                    <w:ind w:firstLine="480" w:firstLineChars="200"/>
                    <w:rPr>
                      <w:rFonts w:eastAsia="宋体"/>
                      <w:bCs/>
                      <w:sz w:val="24"/>
                      <w:szCs w:val="24"/>
                    </w:rPr>
                  </w:pPr>
                  <w:r>
                    <w:rPr>
                      <w:rFonts w:eastAsia="宋体"/>
                      <w:bCs/>
                      <w:sz w:val="24"/>
                      <w:szCs w:val="24"/>
                    </w:rPr>
                    <w:t>3、</w:t>
                  </w:r>
                  <w:r>
                    <w:rPr>
                      <w:rFonts w:hint="eastAsia" w:eastAsia="宋体"/>
                      <w:bCs/>
                      <w:sz w:val="24"/>
                      <w:szCs w:val="24"/>
                    </w:rPr>
                    <w:t>定期对操作失员进行安全生产与知识培训，并制定严格的操作规程，切实加强油料贮存、输送生产过程中的安全控制，保证生产安全、防止意外事故发生。</w:t>
                  </w:r>
                </w:p>
                <w:p>
                  <w:pPr>
                    <w:spacing w:line="500" w:lineRule="exact"/>
                    <w:ind w:firstLine="480" w:firstLineChars="200"/>
                    <w:rPr>
                      <w:rFonts w:eastAsia="宋体"/>
                      <w:bCs/>
                      <w:sz w:val="24"/>
                      <w:szCs w:val="24"/>
                    </w:rPr>
                  </w:pPr>
                  <w:r>
                    <w:rPr>
                      <w:rFonts w:eastAsia="宋体"/>
                      <w:bCs/>
                      <w:sz w:val="24"/>
                      <w:szCs w:val="24"/>
                    </w:rPr>
                    <w:t>4、加强站区绿化，以美化工作环境，同时起到隔声、降噪及净化空气的作用。</w:t>
                  </w:r>
                </w:p>
                <w:p>
                  <w:pPr>
                    <w:spacing w:line="500" w:lineRule="exact"/>
                    <w:ind w:firstLine="480" w:firstLineChars="200"/>
                    <w:rPr>
                      <w:rFonts w:eastAsia="宋体"/>
                      <w:bCs/>
                      <w:sz w:val="24"/>
                      <w:szCs w:val="24"/>
                    </w:rPr>
                  </w:pPr>
                  <w:r>
                    <w:rPr>
                      <w:rFonts w:eastAsia="宋体"/>
                      <w:bCs/>
                      <w:sz w:val="24"/>
                      <w:szCs w:val="24"/>
                    </w:rPr>
                    <w:t>5、加强环保设施的维护和管理，保证设备正常运行。</w:t>
                  </w:r>
                </w:p>
              </w:tc>
            </w:tr>
          </w:tbl>
          <w:p>
            <w:pPr>
              <w:rPr>
                <w:rFonts w:eastAsia="宋体"/>
                <w:szCs w:val="24"/>
              </w:rPr>
            </w:pPr>
          </w:p>
        </w:tc>
      </w:tr>
    </w:tbl>
    <w:p>
      <w:pPr>
        <w:pStyle w:val="2"/>
        <w:ind w:firstLine="0" w:firstLineChars="0"/>
        <w:rPr>
          <w:rFonts w:eastAsia="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预审意见：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rPr>
                <w:rFonts w:eastAsia="宋体"/>
                <w:sz w:val="24"/>
                <w:szCs w:val="24"/>
              </w:rPr>
            </w:pPr>
          </w:p>
          <w:p>
            <w:pPr>
              <w:ind w:right="140" w:rightChars="50" w:firstLine="600" w:firstLineChars="25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firstLine="0" w:firstLineChars="0"/>
              <w:jc w:val="right"/>
              <w:rPr>
                <w:rFonts w:eastAsia="宋体"/>
                <w:szCs w:val="24"/>
              </w:rPr>
            </w:pPr>
            <w:r>
              <w:rPr>
                <w:rFonts w:eastAsia="宋体"/>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9286" w:type="dxa"/>
          </w:tcPr>
          <w:p>
            <w:pPr>
              <w:ind w:right="140" w:rightChars="50"/>
              <w:rPr>
                <w:rFonts w:eastAsia="宋体"/>
                <w:sz w:val="24"/>
                <w:szCs w:val="24"/>
              </w:rPr>
            </w:pPr>
            <w:r>
              <w:rPr>
                <w:rFonts w:eastAsia="宋体"/>
                <w:sz w:val="24"/>
                <w:szCs w:val="24"/>
              </w:rPr>
              <w:t>下一级环境保护行政主管部门审查意见：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20" w:firstLineChars="30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right="360" w:firstLine="0" w:firstLineChars="0"/>
              <w:jc w:val="right"/>
              <w:rPr>
                <w:rFonts w:eastAsia="宋体"/>
                <w:szCs w:val="24"/>
              </w:rPr>
            </w:pPr>
            <w:r>
              <w:rPr>
                <w:rFonts w:eastAsia="宋体"/>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审批意见：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经办人：</w:t>
            </w:r>
          </w:p>
          <w:p>
            <w:pPr>
              <w:pStyle w:val="61"/>
              <w:spacing w:before="120" w:beforeLines="50"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审核人：</w:t>
            </w:r>
          </w:p>
          <w:p>
            <w:pPr>
              <w:pStyle w:val="61"/>
              <w:spacing w:before="120" w:beforeLines="50"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审批人：</w:t>
            </w: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tabs>
                <w:tab w:val="left" w:pos="7995"/>
              </w:tabs>
              <w:ind w:right="140" w:rightChars="50"/>
              <w:rPr>
                <w:rFonts w:eastAsia="宋体"/>
                <w:sz w:val="24"/>
                <w:szCs w:val="24"/>
              </w:rPr>
            </w:pPr>
            <w:r>
              <w:rPr>
                <w:rFonts w:eastAsia="宋体"/>
                <w:sz w:val="24"/>
                <w:szCs w:val="24"/>
              </w:rPr>
              <w:tab/>
            </w:r>
          </w:p>
          <w:p>
            <w:pPr>
              <w:ind w:right="140" w:rightChars="50"/>
              <w:rPr>
                <w:rFonts w:eastAsia="宋体"/>
                <w:sz w:val="24"/>
                <w:szCs w:val="24"/>
              </w:rPr>
            </w:pPr>
            <w:r>
              <w:rPr>
                <w:rFonts w:eastAsia="宋体"/>
                <w:sz w:val="24"/>
                <w:szCs w:val="24"/>
              </w:rPr>
              <w:t xml:space="preserve">                                                       年    月    日</w:t>
            </w:r>
          </w:p>
          <w:p>
            <w:pPr>
              <w:pStyle w:val="61"/>
              <w:wordWrap w:val="0"/>
              <w:spacing w:line="360" w:lineRule="auto"/>
              <w:ind w:right="120" w:firstLine="0" w:firstLineChars="0"/>
              <w:jc w:val="righ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trPr>
        <w:tc>
          <w:tcPr>
            <w:tcW w:w="9286" w:type="dxa"/>
          </w:tcPr>
          <w:p>
            <w:pPr>
              <w:pStyle w:val="19"/>
              <w:rPr>
                <w:rFonts w:ascii="Times New Roman" w:hAnsi="Times New Roman" w:eastAsia="宋体"/>
                <w:sz w:val="24"/>
                <w:szCs w:val="24"/>
              </w:rPr>
            </w:pPr>
            <w:r>
              <w:rPr>
                <w:rFonts w:ascii="Times New Roman" w:hAnsi="Times New Roman" w:eastAsia="宋体"/>
                <w:sz w:val="24"/>
                <w:szCs w:val="24"/>
              </w:rPr>
              <w:t>注释</w:t>
            </w:r>
          </w:p>
          <w:p>
            <w:pPr>
              <w:pStyle w:val="61"/>
              <w:spacing w:line="360" w:lineRule="auto"/>
              <w:ind w:firstLine="480"/>
              <w:jc w:val="center"/>
              <w:rPr>
                <w:rFonts w:eastAsia="宋体"/>
                <w:szCs w:val="24"/>
              </w:rPr>
            </w:pPr>
          </w:p>
          <w:p>
            <w:pPr>
              <w:pStyle w:val="61"/>
              <w:spacing w:line="360" w:lineRule="auto"/>
              <w:ind w:firstLine="480"/>
              <w:rPr>
                <w:rFonts w:eastAsia="宋体"/>
                <w:szCs w:val="24"/>
              </w:rPr>
            </w:pPr>
            <w:r>
              <w:rPr>
                <w:rFonts w:eastAsia="宋体"/>
                <w:szCs w:val="24"/>
              </w:rPr>
              <w:t>一、本报告表应附以下附件、附图：</w:t>
            </w:r>
          </w:p>
          <w:p>
            <w:pPr>
              <w:pStyle w:val="61"/>
              <w:spacing w:line="360" w:lineRule="auto"/>
              <w:ind w:firstLine="480"/>
              <w:rPr>
                <w:rFonts w:eastAsia="宋体"/>
                <w:szCs w:val="24"/>
              </w:rPr>
            </w:pPr>
            <w:r>
              <w:rPr>
                <w:rFonts w:eastAsia="宋体"/>
                <w:szCs w:val="24"/>
              </w:rPr>
              <w:t>附件1 委托书</w:t>
            </w:r>
          </w:p>
          <w:p>
            <w:pPr>
              <w:pStyle w:val="61"/>
              <w:spacing w:line="360" w:lineRule="auto"/>
              <w:ind w:firstLine="480"/>
              <w:rPr>
                <w:rFonts w:eastAsia="宋体"/>
                <w:szCs w:val="24"/>
              </w:rPr>
            </w:pPr>
            <w:r>
              <w:rPr>
                <w:rFonts w:eastAsia="宋体"/>
                <w:szCs w:val="24"/>
              </w:rPr>
              <w:t>附件2 信用承诺书</w:t>
            </w:r>
          </w:p>
          <w:p>
            <w:pPr>
              <w:pStyle w:val="61"/>
              <w:spacing w:line="360" w:lineRule="auto"/>
              <w:ind w:firstLine="480"/>
              <w:rPr>
                <w:rFonts w:eastAsia="宋体"/>
                <w:kern w:val="0"/>
                <w:szCs w:val="24"/>
              </w:rPr>
            </w:pPr>
            <w:r>
              <w:rPr>
                <w:rFonts w:eastAsia="宋体"/>
                <w:szCs w:val="24"/>
              </w:rPr>
              <w:t xml:space="preserve">附件3 </w:t>
            </w:r>
            <w:r>
              <w:rPr>
                <w:rFonts w:eastAsia="宋体"/>
                <w:kern w:val="0"/>
                <w:szCs w:val="24"/>
              </w:rPr>
              <w:t>宿迁市计量所检测报告</w:t>
            </w:r>
          </w:p>
          <w:p>
            <w:pPr>
              <w:pStyle w:val="61"/>
              <w:tabs>
                <w:tab w:val="left" w:pos="1290"/>
              </w:tabs>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附图1 建设项目地理位置图</w:t>
            </w:r>
          </w:p>
          <w:p>
            <w:pPr>
              <w:pStyle w:val="61"/>
              <w:spacing w:line="360" w:lineRule="auto"/>
              <w:ind w:firstLine="480"/>
              <w:rPr>
                <w:rFonts w:eastAsia="宋体"/>
                <w:szCs w:val="24"/>
              </w:rPr>
            </w:pPr>
            <w:r>
              <w:rPr>
                <w:rFonts w:eastAsia="宋体"/>
                <w:szCs w:val="24"/>
              </w:rPr>
              <w:t>附图2 建设项目水系图</w:t>
            </w:r>
          </w:p>
          <w:p>
            <w:pPr>
              <w:pStyle w:val="61"/>
              <w:spacing w:line="360" w:lineRule="auto"/>
              <w:ind w:firstLine="480"/>
              <w:rPr>
                <w:rFonts w:eastAsia="宋体"/>
                <w:kern w:val="0"/>
                <w:szCs w:val="24"/>
              </w:rPr>
            </w:pPr>
            <w:r>
              <w:rPr>
                <w:rFonts w:eastAsia="宋体"/>
                <w:szCs w:val="24"/>
              </w:rPr>
              <w:t>附图3</w:t>
            </w:r>
            <w:r>
              <w:rPr>
                <w:rFonts w:eastAsia="宋体"/>
                <w:kern w:val="0"/>
                <w:szCs w:val="24"/>
              </w:rPr>
              <w:t xml:space="preserve"> 生态红线图</w:t>
            </w:r>
          </w:p>
          <w:p>
            <w:pPr>
              <w:pStyle w:val="61"/>
              <w:spacing w:line="360" w:lineRule="auto"/>
              <w:ind w:firstLine="480"/>
              <w:rPr>
                <w:rFonts w:eastAsia="宋体"/>
                <w:kern w:val="0"/>
                <w:szCs w:val="24"/>
              </w:rPr>
            </w:pPr>
            <w:r>
              <w:rPr>
                <w:rFonts w:eastAsia="宋体"/>
                <w:kern w:val="0"/>
                <w:szCs w:val="24"/>
              </w:rPr>
              <w:t>附图4 建设项目周围300m概况图</w:t>
            </w:r>
          </w:p>
          <w:p>
            <w:pPr>
              <w:pStyle w:val="61"/>
              <w:spacing w:line="360" w:lineRule="auto"/>
              <w:ind w:firstLine="480"/>
              <w:rPr>
                <w:rFonts w:eastAsia="宋体"/>
                <w:kern w:val="0"/>
                <w:szCs w:val="24"/>
              </w:rPr>
            </w:pPr>
            <w:r>
              <w:rPr>
                <w:rFonts w:eastAsia="宋体"/>
                <w:kern w:val="0"/>
                <w:szCs w:val="24"/>
              </w:rPr>
              <w:t>附图5 平面布置图</w:t>
            </w:r>
          </w:p>
          <w:p>
            <w:pPr>
              <w:pStyle w:val="61"/>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二、如果本报告表不能说明项目产生的污染及对环境造成的影响，应进行专项评价。</w:t>
            </w:r>
          </w:p>
          <w:p>
            <w:pPr>
              <w:pStyle w:val="61"/>
              <w:spacing w:line="360" w:lineRule="auto"/>
              <w:ind w:firstLine="480"/>
              <w:rPr>
                <w:rFonts w:eastAsia="宋体"/>
                <w:szCs w:val="24"/>
              </w:rPr>
            </w:pPr>
            <w:r>
              <w:rPr>
                <w:rFonts w:eastAsia="宋体"/>
                <w:szCs w:val="24"/>
              </w:rPr>
              <w:t>根据建设项目的特点和当地环境特征，应选下列1-2 列进行专项评价。</w:t>
            </w:r>
          </w:p>
          <w:p>
            <w:pPr>
              <w:pStyle w:val="61"/>
              <w:spacing w:line="360" w:lineRule="auto"/>
              <w:ind w:firstLine="480"/>
              <w:rPr>
                <w:rFonts w:eastAsia="宋体"/>
                <w:szCs w:val="24"/>
              </w:rPr>
            </w:pPr>
            <w:r>
              <w:rPr>
                <w:rFonts w:eastAsia="宋体"/>
                <w:szCs w:val="24"/>
              </w:rPr>
              <w:t>1． 大气环境影响专项评价</w:t>
            </w:r>
          </w:p>
          <w:p>
            <w:pPr>
              <w:pStyle w:val="61"/>
              <w:spacing w:line="360" w:lineRule="auto"/>
              <w:ind w:firstLine="480"/>
              <w:rPr>
                <w:rFonts w:eastAsia="宋体"/>
                <w:szCs w:val="24"/>
              </w:rPr>
            </w:pPr>
            <w:r>
              <w:rPr>
                <w:rFonts w:eastAsia="宋体"/>
                <w:szCs w:val="24"/>
              </w:rPr>
              <w:t>2． 水环境影响专项评价（包括地表水和地下水）</w:t>
            </w:r>
          </w:p>
          <w:p>
            <w:pPr>
              <w:pStyle w:val="61"/>
              <w:spacing w:line="360" w:lineRule="auto"/>
              <w:ind w:firstLine="480"/>
              <w:rPr>
                <w:rFonts w:eastAsia="宋体"/>
                <w:szCs w:val="24"/>
              </w:rPr>
            </w:pPr>
            <w:r>
              <w:rPr>
                <w:rFonts w:eastAsia="宋体"/>
                <w:szCs w:val="24"/>
              </w:rPr>
              <w:t>3． 生态环境影响专项评价</w:t>
            </w:r>
          </w:p>
          <w:p>
            <w:pPr>
              <w:pStyle w:val="61"/>
              <w:spacing w:line="360" w:lineRule="auto"/>
              <w:ind w:firstLine="480"/>
              <w:rPr>
                <w:rFonts w:eastAsia="宋体"/>
                <w:szCs w:val="24"/>
              </w:rPr>
            </w:pPr>
            <w:r>
              <w:rPr>
                <w:rFonts w:eastAsia="宋体"/>
                <w:szCs w:val="24"/>
              </w:rPr>
              <w:t>4． 声影响专项评价</w:t>
            </w:r>
          </w:p>
          <w:p>
            <w:pPr>
              <w:pStyle w:val="61"/>
              <w:spacing w:line="360" w:lineRule="auto"/>
              <w:ind w:firstLine="480"/>
              <w:rPr>
                <w:rFonts w:eastAsia="宋体"/>
                <w:szCs w:val="24"/>
              </w:rPr>
            </w:pPr>
            <w:r>
              <w:rPr>
                <w:rFonts w:eastAsia="宋体"/>
                <w:szCs w:val="24"/>
              </w:rPr>
              <w:t>5． 土壤影响专项评价</w:t>
            </w:r>
          </w:p>
          <w:p>
            <w:pPr>
              <w:pStyle w:val="61"/>
              <w:spacing w:line="360" w:lineRule="auto"/>
              <w:ind w:firstLine="480"/>
              <w:rPr>
                <w:rFonts w:eastAsia="宋体"/>
                <w:szCs w:val="24"/>
              </w:rPr>
            </w:pPr>
            <w:r>
              <w:rPr>
                <w:rFonts w:eastAsia="宋体"/>
                <w:szCs w:val="24"/>
              </w:rPr>
              <w:t>6． 固体废弃物影响专项评价</w:t>
            </w:r>
          </w:p>
          <w:p>
            <w:pPr>
              <w:pStyle w:val="61"/>
              <w:spacing w:line="360" w:lineRule="auto"/>
              <w:ind w:firstLine="480"/>
              <w:rPr>
                <w:rFonts w:eastAsia="宋体"/>
                <w:szCs w:val="24"/>
              </w:rPr>
            </w:pPr>
            <w:r>
              <w:rPr>
                <w:rFonts w:eastAsia="宋体"/>
                <w:szCs w:val="24"/>
              </w:rPr>
              <w:t>7． 辐射环境影响专项评价（包括电离辐射和电磁辐射）</w:t>
            </w:r>
          </w:p>
          <w:p>
            <w:pPr>
              <w:pStyle w:val="61"/>
              <w:spacing w:line="360" w:lineRule="auto"/>
              <w:ind w:firstLine="0" w:firstLineChars="0"/>
              <w:rPr>
                <w:rFonts w:eastAsia="宋体"/>
                <w:szCs w:val="24"/>
              </w:rPr>
            </w:pPr>
            <w:r>
              <w:rPr>
                <w:rFonts w:eastAsia="宋体"/>
                <w:szCs w:val="24"/>
              </w:rPr>
              <w:t>以上专项评价未包括的可另列专项，专项评价按照《环境影响评价技术导则》中的要求进行。</w:t>
            </w:r>
          </w:p>
        </w:tc>
      </w:tr>
    </w:tbl>
    <w:p>
      <w:pPr>
        <w:pStyle w:val="2"/>
        <w:ind w:firstLine="0" w:firstLineChars="0"/>
        <w:rPr>
          <w:rFonts w:eastAsia="宋体"/>
        </w:rPr>
      </w:pPr>
    </w:p>
    <w:sectPr>
      <w:footerReference r:id="rId7" w:type="default"/>
      <w:footerReference r:id="rId8" w:type="even"/>
      <w:pgSz w:w="11906" w:h="16838"/>
      <w:pgMar w:top="1418" w:right="1418" w:bottom="1418" w:left="1418"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时尚中黑简体">
    <w:altName w:val="黑体"/>
    <w:panose1 w:val="00000000000000000000"/>
    <w:charset w:val="86"/>
    <w:family w:val="auto"/>
    <w:pitch w:val="default"/>
    <w:sig w:usb0="00000000" w:usb1="00000000" w:usb2="00000012" w:usb3="00000000" w:csb0="00040001"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fldChar w:fldCharType="begin"/>
    </w:r>
    <w:r>
      <w:rPr>
        <w:rStyle w:val="32"/>
      </w:rPr>
      <w:instrText xml:space="preserve">PAGE  </w:instrTex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27</w:t>
    </w:r>
    <w:r>
      <w:rPr>
        <w:lang w:val="zh-CN"/>
      </w:rP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72</w:t>
    </w:r>
    <w:r>
      <w:rPr>
        <w:lang w:val="zh-CN"/>
      </w:rPr>
      <w:fldChar w:fldCharType="end"/>
    </w:r>
  </w:p>
  <w:p>
    <w:pPr>
      <w:pStyle w:val="17"/>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16</w:t>
    </w:r>
    <w:r>
      <w:fldChar w:fldCharType="end"/>
    </w:r>
  </w:p>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5"/>
  <w:drawingGridHorizontalSpacing w:val="251"/>
  <w:drawingGridVerticalSpacing w:val="387"/>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1115F"/>
    <w:rsid w:val="000112CA"/>
    <w:rsid w:val="00012629"/>
    <w:rsid w:val="00012DDF"/>
    <w:rsid w:val="00012F0A"/>
    <w:rsid w:val="00013E8C"/>
    <w:rsid w:val="00014334"/>
    <w:rsid w:val="000158A9"/>
    <w:rsid w:val="000160FF"/>
    <w:rsid w:val="00016127"/>
    <w:rsid w:val="000162F1"/>
    <w:rsid w:val="0001635B"/>
    <w:rsid w:val="00017DB4"/>
    <w:rsid w:val="000213C6"/>
    <w:rsid w:val="0002149C"/>
    <w:rsid w:val="00021800"/>
    <w:rsid w:val="00021B20"/>
    <w:rsid w:val="0002249B"/>
    <w:rsid w:val="00022BFF"/>
    <w:rsid w:val="000234F0"/>
    <w:rsid w:val="00023808"/>
    <w:rsid w:val="00023B31"/>
    <w:rsid w:val="00025CB7"/>
    <w:rsid w:val="00026AD4"/>
    <w:rsid w:val="00026B33"/>
    <w:rsid w:val="00027864"/>
    <w:rsid w:val="00027874"/>
    <w:rsid w:val="000304CC"/>
    <w:rsid w:val="000308DF"/>
    <w:rsid w:val="0003104F"/>
    <w:rsid w:val="00031130"/>
    <w:rsid w:val="00031166"/>
    <w:rsid w:val="00031AB4"/>
    <w:rsid w:val="00032581"/>
    <w:rsid w:val="00032EF2"/>
    <w:rsid w:val="000341D7"/>
    <w:rsid w:val="00034D06"/>
    <w:rsid w:val="000355E1"/>
    <w:rsid w:val="00035EA5"/>
    <w:rsid w:val="00036892"/>
    <w:rsid w:val="000369BB"/>
    <w:rsid w:val="00037D92"/>
    <w:rsid w:val="00040818"/>
    <w:rsid w:val="000408C0"/>
    <w:rsid w:val="00040D61"/>
    <w:rsid w:val="000414B8"/>
    <w:rsid w:val="00043B18"/>
    <w:rsid w:val="00044649"/>
    <w:rsid w:val="00044877"/>
    <w:rsid w:val="00044FEF"/>
    <w:rsid w:val="00046351"/>
    <w:rsid w:val="00046491"/>
    <w:rsid w:val="00046CC0"/>
    <w:rsid w:val="00046D82"/>
    <w:rsid w:val="00047A3C"/>
    <w:rsid w:val="000501F9"/>
    <w:rsid w:val="000505CD"/>
    <w:rsid w:val="0005119A"/>
    <w:rsid w:val="000512D9"/>
    <w:rsid w:val="00051CDF"/>
    <w:rsid w:val="000531AC"/>
    <w:rsid w:val="0005419C"/>
    <w:rsid w:val="0005431F"/>
    <w:rsid w:val="00054E3E"/>
    <w:rsid w:val="00055449"/>
    <w:rsid w:val="000558F5"/>
    <w:rsid w:val="00055DAA"/>
    <w:rsid w:val="00056423"/>
    <w:rsid w:val="0005695A"/>
    <w:rsid w:val="00057AFF"/>
    <w:rsid w:val="00057E4F"/>
    <w:rsid w:val="0006099D"/>
    <w:rsid w:val="000610E8"/>
    <w:rsid w:val="0006373D"/>
    <w:rsid w:val="00065DB2"/>
    <w:rsid w:val="00065EC8"/>
    <w:rsid w:val="00066997"/>
    <w:rsid w:val="00066B87"/>
    <w:rsid w:val="00067BE2"/>
    <w:rsid w:val="00067D6C"/>
    <w:rsid w:val="00067DDC"/>
    <w:rsid w:val="00070689"/>
    <w:rsid w:val="00070DB0"/>
    <w:rsid w:val="00071F7F"/>
    <w:rsid w:val="0007359F"/>
    <w:rsid w:val="00074707"/>
    <w:rsid w:val="0007526B"/>
    <w:rsid w:val="00075C3D"/>
    <w:rsid w:val="00075F40"/>
    <w:rsid w:val="0007604E"/>
    <w:rsid w:val="00076F72"/>
    <w:rsid w:val="00077C32"/>
    <w:rsid w:val="000802EB"/>
    <w:rsid w:val="00080E82"/>
    <w:rsid w:val="00081797"/>
    <w:rsid w:val="00081B3C"/>
    <w:rsid w:val="00081B66"/>
    <w:rsid w:val="000828C3"/>
    <w:rsid w:val="000829FE"/>
    <w:rsid w:val="000832C4"/>
    <w:rsid w:val="00083912"/>
    <w:rsid w:val="00083DAE"/>
    <w:rsid w:val="00083EAD"/>
    <w:rsid w:val="00084179"/>
    <w:rsid w:val="00084608"/>
    <w:rsid w:val="000858B3"/>
    <w:rsid w:val="00086053"/>
    <w:rsid w:val="00086320"/>
    <w:rsid w:val="00086EFC"/>
    <w:rsid w:val="00087940"/>
    <w:rsid w:val="00087A41"/>
    <w:rsid w:val="00087ACA"/>
    <w:rsid w:val="00087EC9"/>
    <w:rsid w:val="00090E19"/>
    <w:rsid w:val="00092ACF"/>
    <w:rsid w:val="00092E96"/>
    <w:rsid w:val="00093AA8"/>
    <w:rsid w:val="00093CDA"/>
    <w:rsid w:val="00093D34"/>
    <w:rsid w:val="000949F0"/>
    <w:rsid w:val="00094B17"/>
    <w:rsid w:val="0009501A"/>
    <w:rsid w:val="00095530"/>
    <w:rsid w:val="000956C9"/>
    <w:rsid w:val="000958B9"/>
    <w:rsid w:val="00096039"/>
    <w:rsid w:val="0009690A"/>
    <w:rsid w:val="00096C9E"/>
    <w:rsid w:val="00096F34"/>
    <w:rsid w:val="000975DC"/>
    <w:rsid w:val="000975F3"/>
    <w:rsid w:val="000A0483"/>
    <w:rsid w:val="000A0959"/>
    <w:rsid w:val="000A0CB3"/>
    <w:rsid w:val="000A1334"/>
    <w:rsid w:val="000A189C"/>
    <w:rsid w:val="000A19DA"/>
    <w:rsid w:val="000A1B1A"/>
    <w:rsid w:val="000A1C55"/>
    <w:rsid w:val="000A23BE"/>
    <w:rsid w:val="000A26DE"/>
    <w:rsid w:val="000A2951"/>
    <w:rsid w:val="000A4329"/>
    <w:rsid w:val="000A4A4C"/>
    <w:rsid w:val="000A4B5D"/>
    <w:rsid w:val="000A6849"/>
    <w:rsid w:val="000A731E"/>
    <w:rsid w:val="000A798C"/>
    <w:rsid w:val="000A7B30"/>
    <w:rsid w:val="000B0BA9"/>
    <w:rsid w:val="000B1310"/>
    <w:rsid w:val="000B15B0"/>
    <w:rsid w:val="000B20F8"/>
    <w:rsid w:val="000B2914"/>
    <w:rsid w:val="000B2F4C"/>
    <w:rsid w:val="000B359A"/>
    <w:rsid w:val="000B3930"/>
    <w:rsid w:val="000B3EFC"/>
    <w:rsid w:val="000B43CB"/>
    <w:rsid w:val="000B4E9F"/>
    <w:rsid w:val="000B6624"/>
    <w:rsid w:val="000B728A"/>
    <w:rsid w:val="000B7567"/>
    <w:rsid w:val="000B7610"/>
    <w:rsid w:val="000C07F1"/>
    <w:rsid w:val="000C0AC4"/>
    <w:rsid w:val="000C224C"/>
    <w:rsid w:val="000C3B74"/>
    <w:rsid w:val="000C473B"/>
    <w:rsid w:val="000C48A5"/>
    <w:rsid w:val="000C4B9A"/>
    <w:rsid w:val="000C5FEF"/>
    <w:rsid w:val="000C695E"/>
    <w:rsid w:val="000C7868"/>
    <w:rsid w:val="000C7CC2"/>
    <w:rsid w:val="000D021B"/>
    <w:rsid w:val="000D1EC9"/>
    <w:rsid w:val="000D2ACA"/>
    <w:rsid w:val="000D42E8"/>
    <w:rsid w:val="000D43ED"/>
    <w:rsid w:val="000D4CEA"/>
    <w:rsid w:val="000D4DD5"/>
    <w:rsid w:val="000D5047"/>
    <w:rsid w:val="000D60A3"/>
    <w:rsid w:val="000E0027"/>
    <w:rsid w:val="000E042B"/>
    <w:rsid w:val="000E0941"/>
    <w:rsid w:val="000E0AFE"/>
    <w:rsid w:val="000E0CF0"/>
    <w:rsid w:val="000E0D2C"/>
    <w:rsid w:val="000E2BBD"/>
    <w:rsid w:val="000E2BCC"/>
    <w:rsid w:val="000E2F77"/>
    <w:rsid w:val="000E3019"/>
    <w:rsid w:val="000E3F3A"/>
    <w:rsid w:val="000E4692"/>
    <w:rsid w:val="000E4753"/>
    <w:rsid w:val="000E4B9E"/>
    <w:rsid w:val="000E63E4"/>
    <w:rsid w:val="000E7463"/>
    <w:rsid w:val="000E7F2E"/>
    <w:rsid w:val="000F067D"/>
    <w:rsid w:val="000F105A"/>
    <w:rsid w:val="000F2B5D"/>
    <w:rsid w:val="000F3360"/>
    <w:rsid w:val="000F40FB"/>
    <w:rsid w:val="000F4D27"/>
    <w:rsid w:val="000F6939"/>
    <w:rsid w:val="000F72F0"/>
    <w:rsid w:val="000F7E4F"/>
    <w:rsid w:val="0010179E"/>
    <w:rsid w:val="001021BB"/>
    <w:rsid w:val="00102347"/>
    <w:rsid w:val="00102493"/>
    <w:rsid w:val="00102C2D"/>
    <w:rsid w:val="00104772"/>
    <w:rsid w:val="0010612E"/>
    <w:rsid w:val="00107CF3"/>
    <w:rsid w:val="001102CA"/>
    <w:rsid w:val="00110642"/>
    <w:rsid w:val="00110F1E"/>
    <w:rsid w:val="00112C37"/>
    <w:rsid w:val="00114F28"/>
    <w:rsid w:val="00115402"/>
    <w:rsid w:val="00115593"/>
    <w:rsid w:val="001157EB"/>
    <w:rsid w:val="001166AD"/>
    <w:rsid w:val="00117D38"/>
    <w:rsid w:val="00117EF0"/>
    <w:rsid w:val="00120D0F"/>
    <w:rsid w:val="00120ED7"/>
    <w:rsid w:val="001218DF"/>
    <w:rsid w:val="001227E3"/>
    <w:rsid w:val="00122BAA"/>
    <w:rsid w:val="00122E9A"/>
    <w:rsid w:val="00124872"/>
    <w:rsid w:val="00124E9D"/>
    <w:rsid w:val="0012564B"/>
    <w:rsid w:val="00126F05"/>
    <w:rsid w:val="0012729D"/>
    <w:rsid w:val="00127A6D"/>
    <w:rsid w:val="00127A8E"/>
    <w:rsid w:val="001310DB"/>
    <w:rsid w:val="00131E49"/>
    <w:rsid w:val="00131E71"/>
    <w:rsid w:val="001320EF"/>
    <w:rsid w:val="0013213A"/>
    <w:rsid w:val="0013263E"/>
    <w:rsid w:val="00132DE9"/>
    <w:rsid w:val="00133CA1"/>
    <w:rsid w:val="00134753"/>
    <w:rsid w:val="001358A7"/>
    <w:rsid w:val="001361F0"/>
    <w:rsid w:val="00137D88"/>
    <w:rsid w:val="00140185"/>
    <w:rsid w:val="0014042E"/>
    <w:rsid w:val="00140DCA"/>
    <w:rsid w:val="00140FDB"/>
    <w:rsid w:val="00141DE1"/>
    <w:rsid w:val="00141EDB"/>
    <w:rsid w:val="0014266D"/>
    <w:rsid w:val="00143466"/>
    <w:rsid w:val="0014385D"/>
    <w:rsid w:val="001440AD"/>
    <w:rsid w:val="001440EB"/>
    <w:rsid w:val="001450BF"/>
    <w:rsid w:val="001450C2"/>
    <w:rsid w:val="001459E8"/>
    <w:rsid w:val="00145B13"/>
    <w:rsid w:val="001463A0"/>
    <w:rsid w:val="001476AF"/>
    <w:rsid w:val="001478FA"/>
    <w:rsid w:val="001505F3"/>
    <w:rsid w:val="00150615"/>
    <w:rsid w:val="00150AC3"/>
    <w:rsid w:val="00151070"/>
    <w:rsid w:val="0015146C"/>
    <w:rsid w:val="001515C7"/>
    <w:rsid w:val="00151758"/>
    <w:rsid w:val="001529F2"/>
    <w:rsid w:val="0015328C"/>
    <w:rsid w:val="00153658"/>
    <w:rsid w:val="00153B2E"/>
    <w:rsid w:val="00153FC9"/>
    <w:rsid w:val="00154A2E"/>
    <w:rsid w:val="001560C3"/>
    <w:rsid w:val="001569E0"/>
    <w:rsid w:val="00160B0F"/>
    <w:rsid w:val="00160F2E"/>
    <w:rsid w:val="00162420"/>
    <w:rsid w:val="00162D4A"/>
    <w:rsid w:val="00163423"/>
    <w:rsid w:val="001635D5"/>
    <w:rsid w:val="001648B0"/>
    <w:rsid w:val="001655FC"/>
    <w:rsid w:val="00166451"/>
    <w:rsid w:val="00166A9E"/>
    <w:rsid w:val="00166CD0"/>
    <w:rsid w:val="001673B3"/>
    <w:rsid w:val="00167723"/>
    <w:rsid w:val="00167822"/>
    <w:rsid w:val="001679E6"/>
    <w:rsid w:val="00170573"/>
    <w:rsid w:val="0017075B"/>
    <w:rsid w:val="00170D5F"/>
    <w:rsid w:val="00170D91"/>
    <w:rsid w:val="00171C93"/>
    <w:rsid w:val="00171FC5"/>
    <w:rsid w:val="00171FF5"/>
    <w:rsid w:val="00172714"/>
    <w:rsid w:val="001729B3"/>
    <w:rsid w:val="00172A27"/>
    <w:rsid w:val="00172A96"/>
    <w:rsid w:val="001730B3"/>
    <w:rsid w:val="00173888"/>
    <w:rsid w:val="00174090"/>
    <w:rsid w:val="001748A8"/>
    <w:rsid w:val="00174A2A"/>
    <w:rsid w:val="0017558A"/>
    <w:rsid w:val="00176CB3"/>
    <w:rsid w:val="00177141"/>
    <w:rsid w:val="00181F60"/>
    <w:rsid w:val="001830AD"/>
    <w:rsid w:val="00184CFE"/>
    <w:rsid w:val="00186FA2"/>
    <w:rsid w:val="0019068B"/>
    <w:rsid w:val="0019103D"/>
    <w:rsid w:val="0019119D"/>
    <w:rsid w:val="00191309"/>
    <w:rsid w:val="00191567"/>
    <w:rsid w:val="00191733"/>
    <w:rsid w:val="00192739"/>
    <w:rsid w:val="00192E51"/>
    <w:rsid w:val="00193AA6"/>
    <w:rsid w:val="001948B3"/>
    <w:rsid w:val="00194F42"/>
    <w:rsid w:val="001953B8"/>
    <w:rsid w:val="00196142"/>
    <w:rsid w:val="00196472"/>
    <w:rsid w:val="001978BA"/>
    <w:rsid w:val="00197B92"/>
    <w:rsid w:val="001A1A50"/>
    <w:rsid w:val="001A35F4"/>
    <w:rsid w:val="001A4022"/>
    <w:rsid w:val="001A5221"/>
    <w:rsid w:val="001A579D"/>
    <w:rsid w:val="001A590E"/>
    <w:rsid w:val="001A67F7"/>
    <w:rsid w:val="001A6C6D"/>
    <w:rsid w:val="001A7A78"/>
    <w:rsid w:val="001B147B"/>
    <w:rsid w:val="001B1D7A"/>
    <w:rsid w:val="001B1EDD"/>
    <w:rsid w:val="001B36EC"/>
    <w:rsid w:val="001B3711"/>
    <w:rsid w:val="001B3A37"/>
    <w:rsid w:val="001B48AE"/>
    <w:rsid w:val="001B4A59"/>
    <w:rsid w:val="001B52F2"/>
    <w:rsid w:val="001B5ECA"/>
    <w:rsid w:val="001B62A1"/>
    <w:rsid w:val="001B6487"/>
    <w:rsid w:val="001B6D05"/>
    <w:rsid w:val="001B6D7D"/>
    <w:rsid w:val="001B6DFA"/>
    <w:rsid w:val="001B71D2"/>
    <w:rsid w:val="001C0C46"/>
    <w:rsid w:val="001C0F9A"/>
    <w:rsid w:val="001C2B1B"/>
    <w:rsid w:val="001C2D42"/>
    <w:rsid w:val="001C3E33"/>
    <w:rsid w:val="001C5465"/>
    <w:rsid w:val="001C5C67"/>
    <w:rsid w:val="001D0016"/>
    <w:rsid w:val="001D01CE"/>
    <w:rsid w:val="001D03FD"/>
    <w:rsid w:val="001D1B48"/>
    <w:rsid w:val="001D1B79"/>
    <w:rsid w:val="001D22E3"/>
    <w:rsid w:val="001D2C4F"/>
    <w:rsid w:val="001D31F0"/>
    <w:rsid w:val="001D3A57"/>
    <w:rsid w:val="001D3D7C"/>
    <w:rsid w:val="001D4069"/>
    <w:rsid w:val="001D4346"/>
    <w:rsid w:val="001D4737"/>
    <w:rsid w:val="001D4CF0"/>
    <w:rsid w:val="001D4D88"/>
    <w:rsid w:val="001D605E"/>
    <w:rsid w:val="001D6258"/>
    <w:rsid w:val="001D6473"/>
    <w:rsid w:val="001D727C"/>
    <w:rsid w:val="001D7EB5"/>
    <w:rsid w:val="001E191D"/>
    <w:rsid w:val="001E1B6F"/>
    <w:rsid w:val="001E208B"/>
    <w:rsid w:val="001E310A"/>
    <w:rsid w:val="001E3A36"/>
    <w:rsid w:val="001E3E98"/>
    <w:rsid w:val="001E5792"/>
    <w:rsid w:val="001E65E1"/>
    <w:rsid w:val="001E66AE"/>
    <w:rsid w:val="001E7105"/>
    <w:rsid w:val="001E76CB"/>
    <w:rsid w:val="001F0D48"/>
    <w:rsid w:val="001F0D7B"/>
    <w:rsid w:val="001F1654"/>
    <w:rsid w:val="001F2A01"/>
    <w:rsid w:val="001F382C"/>
    <w:rsid w:val="001F3B5E"/>
    <w:rsid w:val="001F421C"/>
    <w:rsid w:val="001F4976"/>
    <w:rsid w:val="001F4B4C"/>
    <w:rsid w:val="001F520C"/>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7218"/>
    <w:rsid w:val="00207770"/>
    <w:rsid w:val="00207F3D"/>
    <w:rsid w:val="0021008E"/>
    <w:rsid w:val="00210182"/>
    <w:rsid w:val="002102A2"/>
    <w:rsid w:val="00210686"/>
    <w:rsid w:val="002106C5"/>
    <w:rsid w:val="0021140D"/>
    <w:rsid w:val="002127F8"/>
    <w:rsid w:val="002132F6"/>
    <w:rsid w:val="002137CF"/>
    <w:rsid w:val="00214634"/>
    <w:rsid w:val="00214662"/>
    <w:rsid w:val="00216373"/>
    <w:rsid w:val="0022241A"/>
    <w:rsid w:val="0022387B"/>
    <w:rsid w:val="00224900"/>
    <w:rsid w:val="00226385"/>
    <w:rsid w:val="002269F0"/>
    <w:rsid w:val="002308E5"/>
    <w:rsid w:val="00231303"/>
    <w:rsid w:val="00231BD6"/>
    <w:rsid w:val="00233187"/>
    <w:rsid w:val="00234031"/>
    <w:rsid w:val="00236BFB"/>
    <w:rsid w:val="002378EF"/>
    <w:rsid w:val="00237B92"/>
    <w:rsid w:val="00237DA8"/>
    <w:rsid w:val="00240594"/>
    <w:rsid w:val="0024142F"/>
    <w:rsid w:val="00241772"/>
    <w:rsid w:val="00242D28"/>
    <w:rsid w:val="002434E2"/>
    <w:rsid w:val="002435A8"/>
    <w:rsid w:val="002435EA"/>
    <w:rsid w:val="002437AA"/>
    <w:rsid w:val="00243A69"/>
    <w:rsid w:val="00243F04"/>
    <w:rsid w:val="002459B1"/>
    <w:rsid w:val="00246360"/>
    <w:rsid w:val="0024645E"/>
    <w:rsid w:val="00250239"/>
    <w:rsid w:val="00252198"/>
    <w:rsid w:val="002524B6"/>
    <w:rsid w:val="002525D9"/>
    <w:rsid w:val="002528FD"/>
    <w:rsid w:val="00252F34"/>
    <w:rsid w:val="00253570"/>
    <w:rsid w:val="00254CD6"/>
    <w:rsid w:val="00254F28"/>
    <w:rsid w:val="00255859"/>
    <w:rsid w:val="0025687D"/>
    <w:rsid w:val="00256A7A"/>
    <w:rsid w:val="00257005"/>
    <w:rsid w:val="00257590"/>
    <w:rsid w:val="0025794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9F6"/>
    <w:rsid w:val="00267C20"/>
    <w:rsid w:val="00267E34"/>
    <w:rsid w:val="00271F57"/>
    <w:rsid w:val="002728A8"/>
    <w:rsid w:val="00272CDB"/>
    <w:rsid w:val="00273F62"/>
    <w:rsid w:val="00274512"/>
    <w:rsid w:val="00274894"/>
    <w:rsid w:val="00275221"/>
    <w:rsid w:val="00275AFD"/>
    <w:rsid w:val="0027773F"/>
    <w:rsid w:val="002777EC"/>
    <w:rsid w:val="00277944"/>
    <w:rsid w:val="002807A0"/>
    <w:rsid w:val="00280872"/>
    <w:rsid w:val="00281A1E"/>
    <w:rsid w:val="00281B21"/>
    <w:rsid w:val="00281EAF"/>
    <w:rsid w:val="0028238D"/>
    <w:rsid w:val="00283132"/>
    <w:rsid w:val="00283837"/>
    <w:rsid w:val="0028481A"/>
    <w:rsid w:val="0028641E"/>
    <w:rsid w:val="00286D27"/>
    <w:rsid w:val="00286F97"/>
    <w:rsid w:val="0028738B"/>
    <w:rsid w:val="00290632"/>
    <w:rsid w:val="002914F7"/>
    <w:rsid w:val="00291571"/>
    <w:rsid w:val="00291C23"/>
    <w:rsid w:val="00291C57"/>
    <w:rsid w:val="00292105"/>
    <w:rsid w:val="00292632"/>
    <w:rsid w:val="0029276D"/>
    <w:rsid w:val="00292949"/>
    <w:rsid w:val="00292CA8"/>
    <w:rsid w:val="00292E46"/>
    <w:rsid w:val="002930BB"/>
    <w:rsid w:val="002938B2"/>
    <w:rsid w:val="0029461D"/>
    <w:rsid w:val="0029725C"/>
    <w:rsid w:val="002A0713"/>
    <w:rsid w:val="002A0AD7"/>
    <w:rsid w:val="002A0CDD"/>
    <w:rsid w:val="002A22B2"/>
    <w:rsid w:val="002A2766"/>
    <w:rsid w:val="002A2A9A"/>
    <w:rsid w:val="002A2C61"/>
    <w:rsid w:val="002A3F54"/>
    <w:rsid w:val="002A450C"/>
    <w:rsid w:val="002A5584"/>
    <w:rsid w:val="002A5AA3"/>
    <w:rsid w:val="002A70FF"/>
    <w:rsid w:val="002A7567"/>
    <w:rsid w:val="002B06F0"/>
    <w:rsid w:val="002B0CD3"/>
    <w:rsid w:val="002B158A"/>
    <w:rsid w:val="002B1E4F"/>
    <w:rsid w:val="002B263C"/>
    <w:rsid w:val="002B284B"/>
    <w:rsid w:val="002B3823"/>
    <w:rsid w:val="002B4949"/>
    <w:rsid w:val="002B5567"/>
    <w:rsid w:val="002B58AB"/>
    <w:rsid w:val="002B5F51"/>
    <w:rsid w:val="002B6353"/>
    <w:rsid w:val="002B695B"/>
    <w:rsid w:val="002B6CE3"/>
    <w:rsid w:val="002B6D0F"/>
    <w:rsid w:val="002B6DED"/>
    <w:rsid w:val="002B7322"/>
    <w:rsid w:val="002B7E59"/>
    <w:rsid w:val="002C096F"/>
    <w:rsid w:val="002C0B1B"/>
    <w:rsid w:val="002C0E81"/>
    <w:rsid w:val="002C17FC"/>
    <w:rsid w:val="002C1E5A"/>
    <w:rsid w:val="002C2F00"/>
    <w:rsid w:val="002C3C2F"/>
    <w:rsid w:val="002C3F54"/>
    <w:rsid w:val="002C4D4F"/>
    <w:rsid w:val="002C5849"/>
    <w:rsid w:val="002C5AB1"/>
    <w:rsid w:val="002C600C"/>
    <w:rsid w:val="002C774D"/>
    <w:rsid w:val="002D0462"/>
    <w:rsid w:val="002D1EA4"/>
    <w:rsid w:val="002D2D6F"/>
    <w:rsid w:val="002D3152"/>
    <w:rsid w:val="002D3B7B"/>
    <w:rsid w:val="002D3FE4"/>
    <w:rsid w:val="002D4411"/>
    <w:rsid w:val="002D6CFB"/>
    <w:rsid w:val="002D6FB2"/>
    <w:rsid w:val="002D7C75"/>
    <w:rsid w:val="002D7D33"/>
    <w:rsid w:val="002D7FF3"/>
    <w:rsid w:val="002E0B9F"/>
    <w:rsid w:val="002E14A8"/>
    <w:rsid w:val="002E21A7"/>
    <w:rsid w:val="002E2ADB"/>
    <w:rsid w:val="002E2EF1"/>
    <w:rsid w:val="002E3629"/>
    <w:rsid w:val="002E3777"/>
    <w:rsid w:val="002E56A7"/>
    <w:rsid w:val="002E5792"/>
    <w:rsid w:val="002E6234"/>
    <w:rsid w:val="002E6D23"/>
    <w:rsid w:val="002E6D59"/>
    <w:rsid w:val="002E7A25"/>
    <w:rsid w:val="002F04EB"/>
    <w:rsid w:val="002F0A6C"/>
    <w:rsid w:val="002F0C0B"/>
    <w:rsid w:val="002F1459"/>
    <w:rsid w:val="002F1D92"/>
    <w:rsid w:val="002F22BA"/>
    <w:rsid w:val="002F253E"/>
    <w:rsid w:val="002F2931"/>
    <w:rsid w:val="002F2FA7"/>
    <w:rsid w:val="002F3934"/>
    <w:rsid w:val="002F3B41"/>
    <w:rsid w:val="002F49C3"/>
    <w:rsid w:val="002F5B2B"/>
    <w:rsid w:val="002F6402"/>
    <w:rsid w:val="002F6DFC"/>
    <w:rsid w:val="002F6FBD"/>
    <w:rsid w:val="0030015A"/>
    <w:rsid w:val="00300B9C"/>
    <w:rsid w:val="0030355A"/>
    <w:rsid w:val="00303B0C"/>
    <w:rsid w:val="00303DEC"/>
    <w:rsid w:val="00303F22"/>
    <w:rsid w:val="00304477"/>
    <w:rsid w:val="00304509"/>
    <w:rsid w:val="00304FDC"/>
    <w:rsid w:val="0031054F"/>
    <w:rsid w:val="003107C0"/>
    <w:rsid w:val="00310DA4"/>
    <w:rsid w:val="00313C23"/>
    <w:rsid w:val="003151F0"/>
    <w:rsid w:val="00316FD5"/>
    <w:rsid w:val="00317748"/>
    <w:rsid w:val="00317BA2"/>
    <w:rsid w:val="00317FA2"/>
    <w:rsid w:val="003200D2"/>
    <w:rsid w:val="00320D00"/>
    <w:rsid w:val="00321510"/>
    <w:rsid w:val="00321817"/>
    <w:rsid w:val="00321C6E"/>
    <w:rsid w:val="00321C9C"/>
    <w:rsid w:val="00321FE6"/>
    <w:rsid w:val="003230E9"/>
    <w:rsid w:val="0032512A"/>
    <w:rsid w:val="00325667"/>
    <w:rsid w:val="00326FB1"/>
    <w:rsid w:val="003275AD"/>
    <w:rsid w:val="003277D0"/>
    <w:rsid w:val="00331314"/>
    <w:rsid w:val="00331840"/>
    <w:rsid w:val="00331C5D"/>
    <w:rsid w:val="00333454"/>
    <w:rsid w:val="0033348D"/>
    <w:rsid w:val="00334102"/>
    <w:rsid w:val="0033491B"/>
    <w:rsid w:val="00334DF4"/>
    <w:rsid w:val="0033547C"/>
    <w:rsid w:val="00335610"/>
    <w:rsid w:val="00335910"/>
    <w:rsid w:val="00335ED5"/>
    <w:rsid w:val="00336077"/>
    <w:rsid w:val="00336495"/>
    <w:rsid w:val="00336CDA"/>
    <w:rsid w:val="00336F96"/>
    <w:rsid w:val="00340C93"/>
    <w:rsid w:val="00341854"/>
    <w:rsid w:val="00343256"/>
    <w:rsid w:val="003437AC"/>
    <w:rsid w:val="00343B30"/>
    <w:rsid w:val="003444BA"/>
    <w:rsid w:val="00345263"/>
    <w:rsid w:val="00347B40"/>
    <w:rsid w:val="00352236"/>
    <w:rsid w:val="00352E84"/>
    <w:rsid w:val="003534CE"/>
    <w:rsid w:val="00354988"/>
    <w:rsid w:val="003555E9"/>
    <w:rsid w:val="003559AC"/>
    <w:rsid w:val="00356038"/>
    <w:rsid w:val="00356895"/>
    <w:rsid w:val="00356A3B"/>
    <w:rsid w:val="003625A0"/>
    <w:rsid w:val="003629E8"/>
    <w:rsid w:val="00362BD8"/>
    <w:rsid w:val="00362C4A"/>
    <w:rsid w:val="00363D4D"/>
    <w:rsid w:val="0036508E"/>
    <w:rsid w:val="003656A0"/>
    <w:rsid w:val="00365940"/>
    <w:rsid w:val="003664AC"/>
    <w:rsid w:val="00367C18"/>
    <w:rsid w:val="00367ED5"/>
    <w:rsid w:val="003701E9"/>
    <w:rsid w:val="0037041B"/>
    <w:rsid w:val="00370752"/>
    <w:rsid w:val="00370BF1"/>
    <w:rsid w:val="0037138D"/>
    <w:rsid w:val="0037221B"/>
    <w:rsid w:val="003740E6"/>
    <w:rsid w:val="003746EE"/>
    <w:rsid w:val="00374E73"/>
    <w:rsid w:val="00375327"/>
    <w:rsid w:val="003755A0"/>
    <w:rsid w:val="00375946"/>
    <w:rsid w:val="00375A13"/>
    <w:rsid w:val="00375B1D"/>
    <w:rsid w:val="0037672A"/>
    <w:rsid w:val="003776F7"/>
    <w:rsid w:val="00377BB8"/>
    <w:rsid w:val="00377E75"/>
    <w:rsid w:val="00381DD2"/>
    <w:rsid w:val="00381F92"/>
    <w:rsid w:val="003829E9"/>
    <w:rsid w:val="00382FB2"/>
    <w:rsid w:val="0038361F"/>
    <w:rsid w:val="00383C9F"/>
    <w:rsid w:val="00384554"/>
    <w:rsid w:val="00384AB3"/>
    <w:rsid w:val="00385E11"/>
    <w:rsid w:val="0038626C"/>
    <w:rsid w:val="00386CD6"/>
    <w:rsid w:val="00386E76"/>
    <w:rsid w:val="00387853"/>
    <w:rsid w:val="003907BC"/>
    <w:rsid w:val="00390AD0"/>
    <w:rsid w:val="0039106E"/>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6264"/>
    <w:rsid w:val="003B7114"/>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65DF"/>
    <w:rsid w:val="003E760A"/>
    <w:rsid w:val="003E7955"/>
    <w:rsid w:val="003E7EDB"/>
    <w:rsid w:val="003F1ECE"/>
    <w:rsid w:val="003F2F0D"/>
    <w:rsid w:val="003F3050"/>
    <w:rsid w:val="003F5436"/>
    <w:rsid w:val="003F5D3D"/>
    <w:rsid w:val="003F62F1"/>
    <w:rsid w:val="003F6C1C"/>
    <w:rsid w:val="003F6D82"/>
    <w:rsid w:val="003F6E58"/>
    <w:rsid w:val="003F7314"/>
    <w:rsid w:val="0040022E"/>
    <w:rsid w:val="004009C0"/>
    <w:rsid w:val="00400C01"/>
    <w:rsid w:val="0040187C"/>
    <w:rsid w:val="004018AF"/>
    <w:rsid w:val="00402B46"/>
    <w:rsid w:val="00403E98"/>
    <w:rsid w:val="004041B8"/>
    <w:rsid w:val="004052F0"/>
    <w:rsid w:val="004052F3"/>
    <w:rsid w:val="004058E9"/>
    <w:rsid w:val="0040646A"/>
    <w:rsid w:val="0040693A"/>
    <w:rsid w:val="0040709F"/>
    <w:rsid w:val="00407199"/>
    <w:rsid w:val="00407A45"/>
    <w:rsid w:val="00407FD0"/>
    <w:rsid w:val="004109AC"/>
    <w:rsid w:val="00410FC8"/>
    <w:rsid w:val="00411685"/>
    <w:rsid w:val="00411DFE"/>
    <w:rsid w:val="00411E1D"/>
    <w:rsid w:val="00411E8F"/>
    <w:rsid w:val="00412CB8"/>
    <w:rsid w:val="00415957"/>
    <w:rsid w:val="00415B32"/>
    <w:rsid w:val="0041687B"/>
    <w:rsid w:val="00416A6E"/>
    <w:rsid w:val="00416AB3"/>
    <w:rsid w:val="0041723C"/>
    <w:rsid w:val="00417D04"/>
    <w:rsid w:val="0042102C"/>
    <w:rsid w:val="0042141C"/>
    <w:rsid w:val="0042149C"/>
    <w:rsid w:val="00421B27"/>
    <w:rsid w:val="00422C81"/>
    <w:rsid w:val="0042399A"/>
    <w:rsid w:val="00424281"/>
    <w:rsid w:val="00424F89"/>
    <w:rsid w:val="00425899"/>
    <w:rsid w:val="00427AE9"/>
    <w:rsid w:val="00431688"/>
    <w:rsid w:val="00432C0C"/>
    <w:rsid w:val="0043448B"/>
    <w:rsid w:val="00434DC3"/>
    <w:rsid w:val="00435F1F"/>
    <w:rsid w:val="00436737"/>
    <w:rsid w:val="004368CD"/>
    <w:rsid w:val="00436F1D"/>
    <w:rsid w:val="0043773E"/>
    <w:rsid w:val="00437D8C"/>
    <w:rsid w:val="00441FC8"/>
    <w:rsid w:val="00442190"/>
    <w:rsid w:val="0044279B"/>
    <w:rsid w:val="00442CDD"/>
    <w:rsid w:val="00443468"/>
    <w:rsid w:val="0044354D"/>
    <w:rsid w:val="004435E3"/>
    <w:rsid w:val="004442A1"/>
    <w:rsid w:val="004448DA"/>
    <w:rsid w:val="00444963"/>
    <w:rsid w:val="00447972"/>
    <w:rsid w:val="00450096"/>
    <w:rsid w:val="00450AAA"/>
    <w:rsid w:val="00450C75"/>
    <w:rsid w:val="00450ECF"/>
    <w:rsid w:val="0045117C"/>
    <w:rsid w:val="0045177F"/>
    <w:rsid w:val="00451B2B"/>
    <w:rsid w:val="004520A5"/>
    <w:rsid w:val="00452BB0"/>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70368"/>
    <w:rsid w:val="00470597"/>
    <w:rsid w:val="00470904"/>
    <w:rsid w:val="00470AA1"/>
    <w:rsid w:val="00470D68"/>
    <w:rsid w:val="004721F8"/>
    <w:rsid w:val="004722D9"/>
    <w:rsid w:val="00472603"/>
    <w:rsid w:val="0047516D"/>
    <w:rsid w:val="0047572F"/>
    <w:rsid w:val="00475AF3"/>
    <w:rsid w:val="00475BEF"/>
    <w:rsid w:val="00477E05"/>
    <w:rsid w:val="00480589"/>
    <w:rsid w:val="004807C1"/>
    <w:rsid w:val="004813CA"/>
    <w:rsid w:val="00481EF6"/>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41C5"/>
    <w:rsid w:val="004945E6"/>
    <w:rsid w:val="00494956"/>
    <w:rsid w:val="00496592"/>
    <w:rsid w:val="004969A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B105F"/>
    <w:rsid w:val="004B110E"/>
    <w:rsid w:val="004B1B3B"/>
    <w:rsid w:val="004B26BD"/>
    <w:rsid w:val="004B3661"/>
    <w:rsid w:val="004B4945"/>
    <w:rsid w:val="004B60F4"/>
    <w:rsid w:val="004B6293"/>
    <w:rsid w:val="004B6EC5"/>
    <w:rsid w:val="004B71A8"/>
    <w:rsid w:val="004B7A46"/>
    <w:rsid w:val="004C0DA2"/>
    <w:rsid w:val="004C2442"/>
    <w:rsid w:val="004C2CA3"/>
    <w:rsid w:val="004C31DF"/>
    <w:rsid w:val="004C3BA9"/>
    <w:rsid w:val="004C4228"/>
    <w:rsid w:val="004C4B79"/>
    <w:rsid w:val="004C4F10"/>
    <w:rsid w:val="004C6282"/>
    <w:rsid w:val="004C64A3"/>
    <w:rsid w:val="004C6DDB"/>
    <w:rsid w:val="004C76A3"/>
    <w:rsid w:val="004C7C3F"/>
    <w:rsid w:val="004C7F33"/>
    <w:rsid w:val="004D011E"/>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CD"/>
    <w:rsid w:val="004D7F70"/>
    <w:rsid w:val="004E002A"/>
    <w:rsid w:val="004E0318"/>
    <w:rsid w:val="004E0B68"/>
    <w:rsid w:val="004E0E0C"/>
    <w:rsid w:val="004E0EC9"/>
    <w:rsid w:val="004E0F5F"/>
    <w:rsid w:val="004E146E"/>
    <w:rsid w:val="004E1DF3"/>
    <w:rsid w:val="004E339A"/>
    <w:rsid w:val="004E3B4B"/>
    <w:rsid w:val="004E4A11"/>
    <w:rsid w:val="004E4F0A"/>
    <w:rsid w:val="004E624C"/>
    <w:rsid w:val="004E6EC8"/>
    <w:rsid w:val="004F0714"/>
    <w:rsid w:val="004F17D9"/>
    <w:rsid w:val="004F1EEE"/>
    <w:rsid w:val="004F26AA"/>
    <w:rsid w:val="004F2E00"/>
    <w:rsid w:val="004F38FE"/>
    <w:rsid w:val="004F4795"/>
    <w:rsid w:val="004F5BA5"/>
    <w:rsid w:val="004F5E06"/>
    <w:rsid w:val="004F5EF1"/>
    <w:rsid w:val="004F5FF8"/>
    <w:rsid w:val="004F61DA"/>
    <w:rsid w:val="004F62B9"/>
    <w:rsid w:val="004F6EA8"/>
    <w:rsid w:val="00500251"/>
    <w:rsid w:val="00500509"/>
    <w:rsid w:val="00502132"/>
    <w:rsid w:val="00502235"/>
    <w:rsid w:val="005027E8"/>
    <w:rsid w:val="0050369A"/>
    <w:rsid w:val="0050497F"/>
    <w:rsid w:val="00504A8B"/>
    <w:rsid w:val="00504F6E"/>
    <w:rsid w:val="0050582D"/>
    <w:rsid w:val="005062BD"/>
    <w:rsid w:val="00506DFD"/>
    <w:rsid w:val="005104AF"/>
    <w:rsid w:val="00512AE7"/>
    <w:rsid w:val="00512E3F"/>
    <w:rsid w:val="005137D6"/>
    <w:rsid w:val="00513C84"/>
    <w:rsid w:val="00513CD8"/>
    <w:rsid w:val="00513FC2"/>
    <w:rsid w:val="005140BD"/>
    <w:rsid w:val="005148E7"/>
    <w:rsid w:val="005149CB"/>
    <w:rsid w:val="0051510B"/>
    <w:rsid w:val="00516078"/>
    <w:rsid w:val="005176F2"/>
    <w:rsid w:val="0051795A"/>
    <w:rsid w:val="00520023"/>
    <w:rsid w:val="0052037F"/>
    <w:rsid w:val="00520B4E"/>
    <w:rsid w:val="00522363"/>
    <w:rsid w:val="005228B8"/>
    <w:rsid w:val="005232BB"/>
    <w:rsid w:val="005235B8"/>
    <w:rsid w:val="00523CFA"/>
    <w:rsid w:val="005246C0"/>
    <w:rsid w:val="005263F4"/>
    <w:rsid w:val="005264B9"/>
    <w:rsid w:val="00526770"/>
    <w:rsid w:val="005271B2"/>
    <w:rsid w:val="005306F3"/>
    <w:rsid w:val="00532D0C"/>
    <w:rsid w:val="005332D5"/>
    <w:rsid w:val="0053516C"/>
    <w:rsid w:val="0053529F"/>
    <w:rsid w:val="00535B5A"/>
    <w:rsid w:val="00535F41"/>
    <w:rsid w:val="005364F7"/>
    <w:rsid w:val="00536573"/>
    <w:rsid w:val="0053659B"/>
    <w:rsid w:val="005373B6"/>
    <w:rsid w:val="00537667"/>
    <w:rsid w:val="00537CDD"/>
    <w:rsid w:val="00540AEA"/>
    <w:rsid w:val="00541023"/>
    <w:rsid w:val="005410AC"/>
    <w:rsid w:val="00541790"/>
    <w:rsid w:val="0054318A"/>
    <w:rsid w:val="00543616"/>
    <w:rsid w:val="00543B77"/>
    <w:rsid w:val="005440E8"/>
    <w:rsid w:val="0054530E"/>
    <w:rsid w:val="00545BBD"/>
    <w:rsid w:val="00546BC7"/>
    <w:rsid w:val="005510E8"/>
    <w:rsid w:val="00551967"/>
    <w:rsid w:val="00552540"/>
    <w:rsid w:val="00552A07"/>
    <w:rsid w:val="00553683"/>
    <w:rsid w:val="0055558B"/>
    <w:rsid w:val="005576A8"/>
    <w:rsid w:val="005604D6"/>
    <w:rsid w:val="00560752"/>
    <w:rsid w:val="005616CC"/>
    <w:rsid w:val="00561E4E"/>
    <w:rsid w:val="005626D5"/>
    <w:rsid w:val="00562A6B"/>
    <w:rsid w:val="005633CA"/>
    <w:rsid w:val="0056391D"/>
    <w:rsid w:val="00564BD3"/>
    <w:rsid w:val="005656DF"/>
    <w:rsid w:val="00565F77"/>
    <w:rsid w:val="00566C7E"/>
    <w:rsid w:val="005670C9"/>
    <w:rsid w:val="00567D90"/>
    <w:rsid w:val="005705F9"/>
    <w:rsid w:val="00570E5E"/>
    <w:rsid w:val="0057158A"/>
    <w:rsid w:val="005721C7"/>
    <w:rsid w:val="00572ACE"/>
    <w:rsid w:val="00573D1B"/>
    <w:rsid w:val="0057480E"/>
    <w:rsid w:val="00574961"/>
    <w:rsid w:val="00574AE7"/>
    <w:rsid w:val="00575742"/>
    <w:rsid w:val="00575761"/>
    <w:rsid w:val="00576317"/>
    <w:rsid w:val="00577574"/>
    <w:rsid w:val="0057768B"/>
    <w:rsid w:val="0057780F"/>
    <w:rsid w:val="00577A21"/>
    <w:rsid w:val="00580AAC"/>
    <w:rsid w:val="005826F7"/>
    <w:rsid w:val="00582985"/>
    <w:rsid w:val="005846FF"/>
    <w:rsid w:val="0058622C"/>
    <w:rsid w:val="00586383"/>
    <w:rsid w:val="005865E1"/>
    <w:rsid w:val="0058697E"/>
    <w:rsid w:val="00587C44"/>
    <w:rsid w:val="00590C1F"/>
    <w:rsid w:val="00590CC9"/>
    <w:rsid w:val="00590D6B"/>
    <w:rsid w:val="00590E7B"/>
    <w:rsid w:val="00590FFE"/>
    <w:rsid w:val="005910A7"/>
    <w:rsid w:val="0059137C"/>
    <w:rsid w:val="00591843"/>
    <w:rsid w:val="005918DB"/>
    <w:rsid w:val="00591D0D"/>
    <w:rsid w:val="005924A4"/>
    <w:rsid w:val="00594DFD"/>
    <w:rsid w:val="0059654B"/>
    <w:rsid w:val="005968D9"/>
    <w:rsid w:val="00597342"/>
    <w:rsid w:val="005973DD"/>
    <w:rsid w:val="005A049C"/>
    <w:rsid w:val="005A0847"/>
    <w:rsid w:val="005A1275"/>
    <w:rsid w:val="005A1FC7"/>
    <w:rsid w:val="005A2BD6"/>
    <w:rsid w:val="005A3223"/>
    <w:rsid w:val="005A3357"/>
    <w:rsid w:val="005A4198"/>
    <w:rsid w:val="005A4581"/>
    <w:rsid w:val="005A4684"/>
    <w:rsid w:val="005A46AC"/>
    <w:rsid w:val="005A61D8"/>
    <w:rsid w:val="005A6850"/>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2237"/>
    <w:rsid w:val="005C22E2"/>
    <w:rsid w:val="005C2720"/>
    <w:rsid w:val="005C2C87"/>
    <w:rsid w:val="005C30C8"/>
    <w:rsid w:val="005C44C9"/>
    <w:rsid w:val="005C4F0E"/>
    <w:rsid w:val="005C5453"/>
    <w:rsid w:val="005C6343"/>
    <w:rsid w:val="005C63CE"/>
    <w:rsid w:val="005C69ED"/>
    <w:rsid w:val="005C6CCA"/>
    <w:rsid w:val="005C6EA7"/>
    <w:rsid w:val="005C706B"/>
    <w:rsid w:val="005C7684"/>
    <w:rsid w:val="005D0035"/>
    <w:rsid w:val="005D068B"/>
    <w:rsid w:val="005D0FF1"/>
    <w:rsid w:val="005D1B15"/>
    <w:rsid w:val="005D2C2A"/>
    <w:rsid w:val="005D3003"/>
    <w:rsid w:val="005D3014"/>
    <w:rsid w:val="005D357F"/>
    <w:rsid w:val="005D3609"/>
    <w:rsid w:val="005D547A"/>
    <w:rsid w:val="005D5560"/>
    <w:rsid w:val="005D5A8D"/>
    <w:rsid w:val="005D6505"/>
    <w:rsid w:val="005D6D9F"/>
    <w:rsid w:val="005D7468"/>
    <w:rsid w:val="005D774F"/>
    <w:rsid w:val="005D7DD5"/>
    <w:rsid w:val="005E00AA"/>
    <w:rsid w:val="005E00F1"/>
    <w:rsid w:val="005E0101"/>
    <w:rsid w:val="005E031E"/>
    <w:rsid w:val="005E05A7"/>
    <w:rsid w:val="005E076B"/>
    <w:rsid w:val="005E08CB"/>
    <w:rsid w:val="005E1003"/>
    <w:rsid w:val="005E2C2A"/>
    <w:rsid w:val="005E31E7"/>
    <w:rsid w:val="005E4C62"/>
    <w:rsid w:val="005E4D6E"/>
    <w:rsid w:val="005E7BF8"/>
    <w:rsid w:val="005E7F05"/>
    <w:rsid w:val="005F08DF"/>
    <w:rsid w:val="005F0D7F"/>
    <w:rsid w:val="005F3651"/>
    <w:rsid w:val="005F392D"/>
    <w:rsid w:val="005F4AD8"/>
    <w:rsid w:val="005F5D74"/>
    <w:rsid w:val="005F645B"/>
    <w:rsid w:val="005F7794"/>
    <w:rsid w:val="005F7D76"/>
    <w:rsid w:val="00600127"/>
    <w:rsid w:val="006007F0"/>
    <w:rsid w:val="00601C4F"/>
    <w:rsid w:val="00602CC6"/>
    <w:rsid w:val="00604BA7"/>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4024"/>
    <w:rsid w:val="00615252"/>
    <w:rsid w:val="00620860"/>
    <w:rsid w:val="006222E6"/>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2B1D"/>
    <w:rsid w:val="00632E24"/>
    <w:rsid w:val="00633740"/>
    <w:rsid w:val="00637CD2"/>
    <w:rsid w:val="006405D1"/>
    <w:rsid w:val="006411C0"/>
    <w:rsid w:val="0064268D"/>
    <w:rsid w:val="00644D5E"/>
    <w:rsid w:val="00646268"/>
    <w:rsid w:val="00647716"/>
    <w:rsid w:val="006479C6"/>
    <w:rsid w:val="00647C5F"/>
    <w:rsid w:val="00650D71"/>
    <w:rsid w:val="00651488"/>
    <w:rsid w:val="0065153A"/>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756F"/>
    <w:rsid w:val="00657BBD"/>
    <w:rsid w:val="00660798"/>
    <w:rsid w:val="00660BCB"/>
    <w:rsid w:val="00661233"/>
    <w:rsid w:val="00661639"/>
    <w:rsid w:val="006616DF"/>
    <w:rsid w:val="006628E5"/>
    <w:rsid w:val="00662CF0"/>
    <w:rsid w:val="006633C7"/>
    <w:rsid w:val="006635C7"/>
    <w:rsid w:val="00663D20"/>
    <w:rsid w:val="00663E35"/>
    <w:rsid w:val="00664420"/>
    <w:rsid w:val="0066461E"/>
    <w:rsid w:val="00664B8C"/>
    <w:rsid w:val="006655D3"/>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818"/>
    <w:rsid w:val="00681D6F"/>
    <w:rsid w:val="006835BA"/>
    <w:rsid w:val="00684280"/>
    <w:rsid w:val="00684409"/>
    <w:rsid w:val="006849B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DA"/>
    <w:rsid w:val="00693F51"/>
    <w:rsid w:val="00695453"/>
    <w:rsid w:val="00695D71"/>
    <w:rsid w:val="006A058F"/>
    <w:rsid w:val="006A06C6"/>
    <w:rsid w:val="006A070B"/>
    <w:rsid w:val="006A0761"/>
    <w:rsid w:val="006A17A3"/>
    <w:rsid w:val="006A1B8A"/>
    <w:rsid w:val="006A2854"/>
    <w:rsid w:val="006A36CC"/>
    <w:rsid w:val="006A47D0"/>
    <w:rsid w:val="006A4EC5"/>
    <w:rsid w:val="006A6BCB"/>
    <w:rsid w:val="006A6E91"/>
    <w:rsid w:val="006B1406"/>
    <w:rsid w:val="006B18F0"/>
    <w:rsid w:val="006B2D97"/>
    <w:rsid w:val="006B3FCC"/>
    <w:rsid w:val="006B4746"/>
    <w:rsid w:val="006B4DD7"/>
    <w:rsid w:val="006B5126"/>
    <w:rsid w:val="006B6808"/>
    <w:rsid w:val="006B718B"/>
    <w:rsid w:val="006C2040"/>
    <w:rsid w:val="006C34CC"/>
    <w:rsid w:val="006C5A3E"/>
    <w:rsid w:val="006C5B36"/>
    <w:rsid w:val="006C6D95"/>
    <w:rsid w:val="006C7A89"/>
    <w:rsid w:val="006D170F"/>
    <w:rsid w:val="006D1F59"/>
    <w:rsid w:val="006D250E"/>
    <w:rsid w:val="006D304D"/>
    <w:rsid w:val="006D3928"/>
    <w:rsid w:val="006D4B0F"/>
    <w:rsid w:val="006D4B98"/>
    <w:rsid w:val="006D547E"/>
    <w:rsid w:val="006D5572"/>
    <w:rsid w:val="006D62B4"/>
    <w:rsid w:val="006D6CF9"/>
    <w:rsid w:val="006D7D2B"/>
    <w:rsid w:val="006D7FBB"/>
    <w:rsid w:val="006E0071"/>
    <w:rsid w:val="006E11FC"/>
    <w:rsid w:val="006E1A9B"/>
    <w:rsid w:val="006E1DC6"/>
    <w:rsid w:val="006E1FFE"/>
    <w:rsid w:val="006E2DF0"/>
    <w:rsid w:val="006E38BB"/>
    <w:rsid w:val="006E3B92"/>
    <w:rsid w:val="006E43E7"/>
    <w:rsid w:val="006E6389"/>
    <w:rsid w:val="006E645B"/>
    <w:rsid w:val="006E6E09"/>
    <w:rsid w:val="006E7F11"/>
    <w:rsid w:val="006F149C"/>
    <w:rsid w:val="006F184C"/>
    <w:rsid w:val="006F3138"/>
    <w:rsid w:val="006F3B59"/>
    <w:rsid w:val="006F44B8"/>
    <w:rsid w:val="006F554A"/>
    <w:rsid w:val="006F565D"/>
    <w:rsid w:val="006F6138"/>
    <w:rsid w:val="006F631B"/>
    <w:rsid w:val="006F6592"/>
    <w:rsid w:val="006F79F5"/>
    <w:rsid w:val="006F7A84"/>
    <w:rsid w:val="00700475"/>
    <w:rsid w:val="007019A8"/>
    <w:rsid w:val="00701CC6"/>
    <w:rsid w:val="00701CFA"/>
    <w:rsid w:val="007024F8"/>
    <w:rsid w:val="00702E0E"/>
    <w:rsid w:val="0070338B"/>
    <w:rsid w:val="00703F12"/>
    <w:rsid w:val="0070481E"/>
    <w:rsid w:val="0070533A"/>
    <w:rsid w:val="007059D9"/>
    <w:rsid w:val="00706BE1"/>
    <w:rsid w:val="0070784A"/>
    <w:rsid w:val="007113C5"/>
    <w:rsid w:val="00711941"/>
    <w:rsid w:val="00711C31"/>
    <w:rsid w:val="0071203D"/>
    <w:rsid w:val="007121FD"/>
    <w:rsid w:val="00713A8A"/>
    <w:rsid w:val="007143DD"/>
    <w:rsid w:val="0071456E"/>
    <w:rsid w:val="007148C1"/>
    <w:rsid w:val="00715B0C"/>
    <w:rsid w:val="0072096E"/>
    <w:rsid w:val="00721B1C"/>
    <w:rsid w:val="00722723"/>
    <w:rsid w:val="00722E3C"/>
    <w:rsid w:val="00723348"/>
    <w:rsid w:val="00723F15"/>
    <w:rsid w:val="0072666F"/>
    <w:rsid w:val="0073020E"/>
    <w:rsid w:val="0073052B"/>
    <w:rsid w:val="007321BC"/>
    <w:rsid w:val="007334FD"/>
    <w:rsid w:val="007347DE"/>
    <w:rsid w:val="007348A3"/>
    <w:rsid w:val="007351F4"/>
    <w:rsid w:val="0073573B"/>
    <w:rsid w:val="0073682E"/>
    <w:rsid w:val="00740626"/>
    <w:rsid w:val="00740C07"/>
    <w:rsid w:val="00742921"/>
    <w:rsid w:val="00742C0F"/>
    <w:rsid w:val="00742ECC"/>
    <w:rsid w:val="007434E5"/>
    <w:rsid w:val="00743865"/>
    <w:rsid w:val="00743F38"/>
    <w:rsid w:val="00745D81"/>
    <w:rsid w:val="00745DCD"/>
    <w:rsid w:val="0074669A"/>
    <w:rsid w:val="00746E25"/>
    <w:rsid w:val="00747F04"/>
    <w:rsid w:val="0075016E"/>
    <w:rsid w:val="007511A8"/>
    <w:rsid w:val="00751340"/>
    <w:rsid w:val="0075148D"/>
    <w:rsid w:val="00751495"/>
    <w:rsid w:val="00751861"/>
    <w:rsid w:val="00751CF1"/>
    <w:rsid w:val="0075201B"/>
    <w:rsid w:val="007553CA"/>
    <w:rsid w:val="00755DAC"/>
    <w:rsid w:val="0075763F"/>
    <w:rsid w:val="00757C88"/>
    <w:rsid w:val="0076059B"/>
    <w:rsid w:val="00760E98"/>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3EF2"/>
    <w:rsid w:val="00774ABC"/>
    <w:rsid w:val="00775F63"/>
    <w:rsid w:val="007760ED"/>
    <w:rsid w:val="00776502"/>
    <w:rsid w:val="00776D66"/>
    <w:rsid w:val="007772DB"/>
    <w:rsid w:val="00777E53"/>
    <w:rsid w:val="00777F1E"/>
    <w:rsid w:val="00777F78"/>
    <w:rsid w:val="0078031D"/>
    <w:rsid w:val="0078068A"/>
    <w:rsid w:val="00780749"/>
    <w:rsid w:val="007807CB"/>
    <w:rsid w:val="0078249B"/>
    <w:rsid w:val="0078276E"/>
    <w:rsid w:val="007830FB"/>
    <w:rsid w:val="00783DFF"/>
    <w:rsid w:val="007840BC"/>
    <w:rsid w:val="0078681D"/>
    <w:rsid w:val="007902ED"/>
    <w:rsid w:val="0079098B"/>
    <w:rsid w:val="007916FC"/>
    <w:rsid w:val="00791D58"/>
    <w:rsid w:val="007931F1"/>
    <w:rsid w:val="007935CA"/>
    <w:rsid w:val="00794288"/>
    <w:rsid w:val="00796E1A"/>
    <w:rsid w:val="007A0E1F"/>
    <w:rsid w:val="007A1EE4"/>
    <w:rsid w:val="007A2715"/>
    <w:rsid w:val="007A297D"/>
    <w:rsid w:val="007A3F94"/>
    <w:rsid w:val="007A45AB"/>
    <w:rsid w:val="007A61F6"/>
    <w:rsid w:val="007A6252"/>
    <w:rsid w:val="007A6F39"/>
    <w:rsid w:val="007A7B9F"/>
    <w:rsid w:val="007A7F00"/>
    <w:rsid w:val="007B05F1"/>
    <w:rsid w:val="007B0BCA"/>
    <w:rsid w:val="007B0E92"/>
    <w:rsid w:val="007B1313"/>
    <w:rsid w:val="007B16CA"/>
    <w:rsid w:val="007B1F0A"/>
    <w:rsid w:val="007B2306"/>
    <w:rsid w:val="007B2E05"/>
    <w:rsid w:val="007B408B"/>
    <w:rsid w:val="007B491F"/>
    <w:rsid w:val="007B5161"/>
    <w:rsid w:val="007B56DB"/>
    <w:rsid w:val="007B6A6B"/>
    <w:rsid w:val="007C063D"/>
    <w:rsid w:val="007C080D"/>
    <w:rsid w:val="007C151E"/>
    <w:rsid w:val="007C1C8E"/>
    <w:rsid w:val="007C225A"/>
    <w:rsid w:val="007C2469"/>
    <w:rsid w:val="007C2CD2"/>
    <w:rsid w:val="007C3F94"/>
    <w:rsid w:val="007C57DB"/>
    <w:rsid w:val="007C66E5"/>
    <w:rsid w:val="007C6B96"/>
    <w:rsid w:val="007D0387"/>
    <w:rsid w:val="007D1263"/>
    <w:rsid w:val="007D147D"/>
    <w:rsid w:val="007D1B62"/>
    <w:rsid w:val="007D20BE"/>
    <w:rsid w:val="007D2ECB"/>
    <w:rsid w:val="007D2FF4"/>
    <w:rsid w:val="007D5244"/>
    <w:rsid w:val="007D5372"/>
    <w:rsid w:val="007D5A7A"/>
    <w:rsid w:val="007D618D"/>
    <w:rsid w:val="007D6295"/>
    <w:rsid w:val="007D743D"/>
    <w:rsid w:val="007E1487"/>
    <w:rsid w:val="007E1D53"/>
    <w:rsid w:val="007E1EF4"/>
    <w:rsid w:val="007E2A58"/>
    <w:rsid w:val="007E41DB"/>
    <w:rsid w:val="007E4CC1"/>
    <w:rsid w:val="007E5EF4"/>
    <w:rsid w:val="007E60D8"/>
    <w:rsid w:val="007E644F"/>
    <w:rsid w:val="007E78B7"/>
    <w:rsid w:val="007E7ECF"/>
    <w:rsid w:val="007F067F"/>
    <w:rsid w:val="007F0DC3"/>
    <w:rsid w:val="007F0F05"/>
    <w:rsid w:val="007F13B4"/>
    <w:rsid w:val="007F1736"/>
    <w:rsid w:val="007F17A9"/>
    <w:rsid w:val="007F18C1"/>
    <w:rsid w:val="007F2F68"/>
    <w:rsid w:val="007F434A"/>
    <w:rsid w:val="007F4617"/>
    <w:rsid w:val="007F5E1D"/>
    <w:rsid w:val="007F62E4"/>
    <w:rsid w:val="007F7B76"/>
    <w:rsid w:val="008003AB"/>
    <w:rsid w:val="00800D9A"/>
    <w:rsid w:val="008019FC"/>
    <w:rsid w:val="00801BD0"/>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881"/>
    <w:rsid w:val="00815D3D"/>
    <w:rsid w:val="00815FCF"/>
    <w:rsid w:val="008174C8"/>
    <w:rsid w:val="008179E0"/>
    <w:rsid w:val="00820855"/>
    <w:rsid w:val="008224D3"/>
    <w:rsid w:val="00822D0B"/>
    <w:rsid w:val="00823840"/>
    <w:rsid w:val="00824B58"/>
    <w:rsid w:val="00825FAD"/>
    <w:rsid w:val="008267E9"/>
    <w:rsid w:val="00827B7A"/>
    <w:rsid w:val="008313DE"/>
    <w:rsid w:val="00831E78"/>
    <w:rsid w:val="0083207B"/>
    <w:rsid w:val="008320AE"/>
    <w:rsid w:val="00832CE4"/>
    <w:rsid w:val="00833AA1"/>
    <w:rsid w:val="00833F02"/>
    <w:rsid w:val="0083430E"/>
    <w:rsid w:val="0083436B"/>
    <w:rsid w:val="008352B2"/>
    <w:rsid w:val="00835A56"/>
    <w:rsid w:val="00835E8C"/>
    <w:rsid w:val="00835EE9"/>
    <w:rsid w:val="00837743"/>
    <w:rsid w:val="00837A3D"/>
    <w:rsid w:val="008401F2"/>
    <w:rsid w:val="00841E1E"/>
    <w:rsid w:val="008427A7"/>
    <w:rsid w:val="00843127"/>
    <w:rsid w:val="00843995"/>
    <w:rsid w:val="00844016"/>
    <w:rsid w:val="0084520A"/>
    <w:rsid w:val="00845A40"/>
    <w:rsid w:val="00845EE0"/>
    <w:rsid w:val="008465AC"/>
    <w:rsid w:val="008474DD"/>
    <w:rsid w:val="00847808"/>
    <w:rsid w:val="00851480"/>
    <w:rsid w:val="008524A6"/>
    <w:rsid w:val="00853700"/>
    <w:rsid w:val="00853DCC"/>
    <w:rsid w:val="00854942"/>
    <w:rsid w:val="00854B01"/>
    <w:rsid w:val="00855EE3"/>
    <w:rsid w:val="00856D44"/>
    <w:rsid w:val="008572AD"/>
    <w:rsid w:val="0086004C"/>
    <w:rsid w:val="008608E0"/>
    <w:rsid w:val="008631BB"/>
    <w:rsid w:val="008635CF"/>
    <w:rsid w:val="00863FE3"/>
    <w:rsid w:val="00865B30"/>
    <w:rsid w:val="0087155C"/>
    <w:rsid w:val="008723FA"/>
    <w:rsid w:val="008733AD"/>
    <w:rsid w:val="0087382F"/>
    <w:rsid w:val="00873B65"/>
    <w:rsid w:val="00874636"/>
    <w:rsid w:val="00874D1D"/>
    <w:rsid w:val="00875129"/>
    <w:rsid w:val="008758D6"/>
    <w:rsid w:val="00875D0B"/>
    <w:rsid w:val="00877101"/>
    <w:rsid w:val="00877831"/>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C7B"/>
    <w:rsid w:val="008904A3"/>
    <w:rsid w:val="0089055C"/>
    <w:rsid w:val="00890D72"/>
    <w:rsid w:val="00891949"/>
    <w:rsid w:val="008922B8"/>
    <w:rsid w:val="00892C83"/>
    <w:rsid w:val="00892CE1"/>
    <w:rsid w:val="00893391"/>
    <w:rsid w:val="00893CAC"/>
    <w:rsid w:val="008940DC"/>
    <w:rsid w:val="008968C3"/>
    <w:rsid w:val="00896900"/>
    <w:rsid w:val="008A079D"/>
    <w:rsid w:val="008A1CC2"/>
    <w:rsid w:val="008A2E5F"/>
    <w:rsid w:val="008A3F40"/>
    <w:rsid w:val="008A4540"/>
    <w:rsid w:val="008A505F"/>
    <w:rsid w:val="008A57BF"/>
    <w:rsid w:val="008A65D6"/>
    <w:rsid w:val="008A6ED2"/>
    <w:rsid w:val="008A79F7"/>
    <w:rsid w:val="008B161A"/>
    <w:rsid w:val="008B16E0"/>
    <w:rsid w:val="008B1D9F"/>
    <w:rsid w:val="008B22CB"/>
    <w:rsid w:val="008B285C"/>
    <w:rsid w:val="008B2AD5"/>
    <w:rsid w:val="008B3DD2"/>
    <w:rsid w:val="008B4341"/>
    <w:rsid w:val="008B446D"/>
    <w:rsid w:val="008B6A24"/>
    <w:rsid w:val="008B7535"/>
    <w:rsid w:val="008B7707"/>
    <w:rsid w:val="008B7C92"/>
    <w:rsid w:val="008C0064"/>
    <w:rsid w:val="008C02CE"/>
    <w:rsid w:val="008C0443"/>
    <w:rsid w:val="008C0D01"/>
    <w:rsid w:val="008C0E6F"/>
    <w:rsid w:val="008C11A5"/>
    <w:rsid w:val="008C1367"/>
    <w:rsid w:val="008C189B"/>
    <w:rsid w:val="008C2DE6"/>
    <w:rsid w:val="008C4946"/>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82F"/>
    <w:rsid w:val="008D2D91"/>
    <w:rsid w:val="008D33AB"/>
    <w:rsid w:val="008D47E4"/>
    <w:rsid w:val="008D5129"/>
    <w:rsid w:val="008D5E47"/>
    <w:rsid w:val="008D60EE"/>
    <w:rsid w:val="008D7AE0"/>
    <w:rsid w:val="008D7B37"/>
    <w:rsid w:val="008D7B51"/>
    <w:rsid w:val="008E33E8"/>
    <w:rsid w:val="008E5486"/>
    <w:rsid w:val="008E58AA"/>
    <w:rsid w:val="008E690A"/>
    <w:rsid w:val="008E6D84"/>
    <w:rsid w:val="008E6EBB"/>
    <w:rsid w:val="008E7588"/>
    <w:rsid w:val="008E7610"/>
    <w:rsid w:val="008E7673"/>
    <w:rsid w:val="008F0F18"/>
    <w:rsid w:val="008F1AE6"/>
    <w:rsid w:val="008F2081"/>
    <w:rsid w:val="008F21CE"/>
    <w:rsid w:val="008F3521"/>
    <w:rsid w:val="008F3A2A"/>
    <w:rsid w:val="008F55EC"/>
    <w:rsid w:val="008F603F"/>
    <w:rsid w:val="008F616C"/>
    <w:rsid w:val="008F6426"/>
    <w:rsid w:val="008F7A07"/>
    <w:rsid w:val="008F7B9A"/>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20B1"/>
    <w:rsid w:val="00912A76"/>
    <w:rsid w:val="00912E39"/>
    <w:rsid w:val="00913F45"/>
    <w:rsid w:val="0091413B"/>
    <w:rsid w:val="009148D8"/>
    <w:rsid w:val="009154B0"/>
    <w:rsid w:val="00915E99"/>
    <w:rsid w:val="009174DC"/>
    <w:rsid w:val="009177A6"/>
    <w:rsid w:val="00920193"/>
    <w:rsid w:val="00920754"/>
    <w:rsid w:val="00920E6C"/>
    <w:rsid w:val="009213AE"/>
    <w:rsid w:val="0092175B"/>
    <w:rsid w:val="00922B49"/>
    <w:rsid w:val="00922FD5"/>
    <w:rsid w:val="00923257"/>
    <w:rsid w:val="009240BD"/>
    <w:rsid w:val="00924635"/>
    <w:rsid w:val="009254D5"/>
    <w:rsid w:val="00925A24"/>
    <w:rsid w:val="0092612C"/>
    <w:rsid w:val="009318EE"/>
    <w:rsid w:val="009333F7"/>
    <w:rsid w:val="009339B1"/>
    <w:rsid w:val="00936CD0"/>
    <w:rsid w:val="00937471"/>
    <w:rsid w:val="0093782E"/>
    <w:rsid w:val="00937A83"/>
    <w:rsid w:val="00937B2B"/>
    <w:rsid w:val="009401ED"/>
    <w:rsid w:val="00941AA7"/>
    <w:rsid w:val="009420C7"/>
    <w:rsid w:val="00942956"/>
    <w:rsid w:val="009434E7"/>
    <w:rsid w:val="009441C6"/>
    <w:rsid w:val="009444A2"/>
    <w:rsid w:val="009454ED"/>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628"/>
    <w:rsid w:val="009632FC"/>
    <w:rsid w:val="00963700"/>
    <w:rsid w:val="00963A42"/>
    <w:rsid w:val="00963B56"/>
    <w:rsid w:val="00964867"/>
    <w:rsid w:val="00964DB0"/>
    <w:rsid w:val="00964F78"/>
    <w:rsid w:val="00966D2A"/>
    <w:rsid w:val="0096703B"/>
    <w:rsid w:val="00970DC3"/>
    <w:rsid w:val="00972498"/>
    <w:rsid w:val="0097250E"/>
    <w:rsid w:val="009728F2"/>
    <w:rsid w:val="00973F88"/>
    <w:rsid w:val="00973FA3"/>
    <w:rsid w:val="00973FDD"/>
    <w:rsid w:val="009747D8"/>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A2A"/>
    <w:rsid w:val="009851E8"/>
    <w:rsid w:val="0098566A"/>
    <w:rsid w:val="00986707"/>
    <w:rsid w:val="009869AF"/>
    <w:rsid w:val="00986CCE"/>
    <w:rsid w:val="009870BD"/>
    <w:rsid w:val="0098769D"/>
    <w:rsid w:val="0098789E"/>
    <w:rsid w:val="00990C56"/>
    <w:rsid w:val="00991CB0"/>
    <w:rsid w:val="00991D5E"/>
    <w:rsid w:val="00991FAA"/>
    <w:rsid w:val="009921E7"/>
    <w:rsid w:val="0099410E"/>
    <w:rsid w:val="00994815"/>
    <w:rsid w:val="00995D05"/>
    <w:rsid w:val="00996015"/>
    <w:rsid w:val="00996C9F"/>
    <w:rsid w:val="00996EAE"/>
    <w:rsid w:val="00997829"/>
    <w:rsid w:val="009A00CE"/>
    <w:rsid w:val="009A0BA1"/>
    <w:rsid w:val="009A2FD6"/>
    <w:rsid w:val="009A34BA"/>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9C"/>
    <w:rsid w:val="009C1B0D"/>
    <w:rsid w:val="009C2CDD"/>
    <w:rsid w:val="009C3D7E"/>
    <w:rsid w:val="009C4535"/>
    <w:rsid w:val="009C473A"/>
    <w:rsid w:val="009C5706"/>
    <w:rsid w:val="009C5FA4"/>
    <w:rsid w:val="009C611A"/>
    <w:rsid w:val="009C6D72"/>
    <w:rsid w:val="009C7CA7"/>
    <w:rsid w:val="009D064C"/>
    <w:rsid w:val="009D08D5"/>
    <w:rsid w:val="009D1796"/>
    <w:rsid w:val="009D1F77"/>
    <w:rsid w:val="009D20B8"/>
    <w:rsid w:val="009D3762"/>
    <w:rsid w:val="009D38BD"/>
    <w:rsid w:val="009D41DB"/>
    <w:rsid w:val="009D58E5"/>
    <w:rsid w:val="009D5FDA"/>
    <w:rsid w:val="009D68E6"/>
    <w:rsid w:val="009D691A"/>
    <w:rsid w:val="009D7F6B"/>
    <w:rsid w:val="009E01FA"/>
    <w:rsid w:val="009E0CC3"/>
    <w:rsid w:val="009E12A5"/>
    <w:rsid w:val="009E1FB7"/>
    <w:rsid w:val="009E2078"/>
    <w:rsid w:val="009E4689"/>
    <w:rsid w:val="009E47AA"/>
    <w:rsid w:val="009E4A23"/>
    <w:rsid w:val="009E4D1C"/>
    <w:rsid w:val="009E5B96"/>
    <w:rsid w:val="009E6C2F"/>
    <w:rsid w:val="009E77AF"/>
    <w:rsid w:val="009E78F4"/>
    <w:rsid w:val="009E79E3"/>
    <w:rsid w:val="009E7CE7"/>
    <w:rsid w:val="009F0C76"/>
    <w:rsid w:val="009F0D07"/>
    <w:rsid w:val="009F121A"/>
    <w:rsid w:val="009F152F"/>
    <w:rsid w:val="009F28F1"/>
    <w:rsid w:val="009F3858"/>
    <w:rsid w:val="009F4236"/>
    <w:rsid w:val="009F5F20"/>
    <w:rsid w:val="009F65C9"/>
    <w:rsid w:val="00A00BC6"/>
    <w:rsid w:val="00A012E8"/>
    <w:rsid w:val="00A01423"/>
    <w:rsid w:val="00A01489"/>
    <w:rsid w:val="00A01A37"/>
    <w:rsid w:val="00A0228B"/>
    <w:rsid w:val="00A02AF8"/>
    <w:rsid w:val="00A03FB5"/>
    <w:rsid w:val="00A04284"/>
    <w:rsid w:val="00A054D7"/>
    <w:rsid w:val="00A0733E"/>
    <w:rsid w:val="00A07DC9"/>
    <w:rsid w:val="00A1021C"/>
    <w:rsid w:val="00A1070A"/>
    <w:rsid w:val="00A11855"/>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E9"/>
    <w:rsid w:val="00A43184"/>
    <w:rsid w:val="00A4377E"/>
    <w:rsid w:val="00A43941"/>
    <w:rsid w:val="00A43F09"/>
    <w:rsid w:val="00A44972"/>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D04"/>
    <w:rsid w:val="00A57352"/>
    <w:rsid w:val="00A5792A"/>
    <w:rsid w:val="00A60470"/>
    <w:rsid w:val="00A60C2B"/>
    <w:rsid w:val="00A60F78"/>
    <w:rsid w:val="00A61C81"/>
    <w:rsid w:val="00A62533"/>
    <w:rsid w:val="00A63226"/>
    <w:rsid w:val="00A633AA"/>
    <w:rsid w:val="00A63864"/>
    <w:rsid w:val="00A642C7"/>
    <w:rsid w:val="00A66809"/>
    <w:rsid w:val="00A6722E"/>
    <w:rsid w:val="00A67D72"/>
    <w:rsid w:val="00A7078A"/>
    <w:rsid w:val="00A7084F"/>
    <w:rsid w:val="00A71DC3"/>
    <w:rsid w:val="00A7268B"/>
    <w:rsid w:val="00A72A61"/>
    <w:rsid w:val="00A73BD1"/>
    <w:rsid w:val="00A7415A"/>
    <w:rsid w:val="00A741AB"/>
    <w:rsid w:val="00A744D8"/>
    <w:rsid w:val="00A74C86"/>
    <w:rsid w:val="00A75382"/>
    <w:rsid w:val="00A76198"/>
    <w:rsid w:val="00A76916"/>
    <w:rsid w:val="00A7781F"/>
    <w:rsid w:val="00A806CB"/>
    <w:rsid w:val="00A81AD8"/>
    <w:rsid w:val="00A824AA"/>
    <w:rsid w:val="00A825D4"/>
    <w:rsid w:val="00A82EA0"/>
    <w:rsid w:val="00A83CD2"/>
    <w:rsid w:val="00A83FA0"/>
    <w:rsid w:val="00A847D3"/>
    <w:rsid w:val="00A86C47"/>
    <w:rsid w:val="00A86FD4"/>
    <w:rsid w:val="00A911F8"/>
    <w:rsid w:val="00A9265E"/>
    <w:rsid w:val="00A92AB3"/>
    <w:rsid w:val="00A932FA"/>
    <w:rsid w:val="00A9333C"/>
    <w:rsid w:val="00A93813"/>
    <w:rsid w:val="00A9430E"/>
    <w:rsid w:val="00AA0B41"/>
    <w:rsid w:val="00AA1691"/>
    <w:rsid w:val="00AA2473"/>
    <w:rsid w:val="00AA2656"/>
    <w:rsid w:val="00AA28CA"/>
    <w:rsid w:val="00AA2BB4"/>
    <w:rsid w:val="00AA2DB6"/>
    <w:rsid w:val="00AA4AAD"/>
    <w:rsid w:val="00AA765A"/>
    <w:rsid w:val="00AA769E"/>
    <w:rsid w:val="00AA7A06"/>
    <w:rsid w:val="00AB0308"/>
    <w:rsid w:val="00AB1EDC"/>
    <w:rsid w:val="00AB3554"/>
    <w:rsid w:val="00AB36F1"/>
    <w:rsid w:val="00AB5596"/>
    <w:rsid w:val="00AB560E"/>
    <w:rsid w:val="00AB59B4"/>
    <w:rsid w:val="00AB5ADC"/>
    <w:rsid w:val="00AB5C3E"/>
    <w:rsid w:val="00AB6DEB"/>
    <w:rsid w:val="00AB6EBF"/>
    <w:rsid w:val="00AB6FCE"/>
    <w:rsid w:val="00AB744C"/>
    <w:rsid w:val="00AC0417"/>
    <w:rsid w:val="00AC0EE7"/>
    <w:rsid w:val="00AC19DF"/>
    <w:rsid w:val="00AC1EBA"/>
    <w:rsid w:val="00AC2F62"/>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A31"/>
    <w:rsid w:val="00AD3E1D"/>
    <w:rsid w:val="00AD408A"/>
    <w:rsid w:val="00AD448F"/>
    <w:rsid w:val="00AD562A"/>
    <w:rsid w:val="00AD577A"/>
    <w:rsid w:val="00AD5EA0"/>
    <w:rsid w:val="00AD63A6"/>
    <w:rsid w:val="00AD6A35"/>
    <w:rsid w:val="00AD6D65"/>
    <w:rsid w:val="00AE0A91"/>
    <w:rsid w:val="00AE0D87"/>
    <w:rsid w:val="00AE11A7"/>
    <w:rsid w:val="00AE2D60"/>
    <w:rsid w:val="00AE4020"/>
    <w:rsid w:val="00AE48D3"/>
    <w:rsid w:val="00AE562E"/>
    <w:rsid w:val="00AE7A77"/>
    <w:rsid w:val="00AF0653"/>
    <w:rsid w:val="00AF0678"/>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2866"/>
    <w:rsid w:val="00B030D9"/>
    <w:rsid w:val="00B03711"/>
    <w:rsid w:val="00B03E1D"/>
    <w:rsid w:val="00B03F1E"/>
    <w:rsid w:val="00B0468E"/>
    <w:rsid w:val="00B05044"/>
    <w:rsid w:val="00B05B81"/>
    <w:rsid w:val="00B06489"/>
    <w:rsid w:val="00B06F04"/>
    <w:rsid w:val="00B07398"/>
    <w:rsid w:val="00B113FF"/>
    <w:rsid w:val="00B120E4"/>
    <w:rsid w:val="00B13B09"/>
    <w:rsid w:val="00B15A0A"/>
    <w:rsid w:val="00B168CA"/>
    <w:rsid w:val="00B16A99"/>
    <w:rsid w:val="00B17112"/>
    <w:rsid w:val="00B1784F"/>
    <w:rsid w:val="00B17951"/>
    <w:rsid w:val="00B209F7"/>
    <w:rsid w:val="00B20FC8"/>
    <w:rsid w:val="00B21329"/>
    <w:rsid w:val="00B214A4"/>
    <w:rsid w:val="00B21890"/>
    <w:rsid w:val="00B21F56"/>
    <w:rsid w:val="00B22873"/>
    <w:rsid w:val="00B22BA1"/>
    <w:rsid w:val="00B26AD6"/>
    <w:rsid w:val="00B30AC2"/>
    <w:rsid w:val="00B30E86"/>
    <w:rsid w:val="00B30EAB"/>
    <w:rsid w:val="00B31590"/>
    <w:rsid w:val="00B32476"/>
    <w:rsid w:val="00B3361F"/>
    <w:rsid w:val="00B33638"/>
    <w:rsid w:val="00B343FA"/>
    <w:rsid w:val="00B350A5"/>
    <w:rsid w:val="00B35EA3"/>
    <w:rsid w:val="00B36211"/>
    <w:rsid w:val="00B37D02"/>
    <w:rsid w:val="00B412C2"/>
    <w:rsid w:val="00B41D67"/>
    <w:rsid w:val="00B43512"/>
    <w:rsid w:val="00B4485A"/>
    <w:rsid w:val="00B452C5"/>
    <w:rsid w:val="00B45465"/>
    <w:rsid w:val="00B45700"/>
    <w:rsid w:val="00B458A3"/>
    <w:rsid w:val="00B45CC2"/>
    <w:rsid w:val="00B467F3"/>
    <w:rsid w:val="00B46DCA"/>
    <w:rsid w:val="00B47A14"/>
    <w:rsid w:val="00B47B93"/>
    <w:rsid w:val="00B50490"/>
    <w:rsid w:val="00B518DA"/>
    <w:rsid w:val="00B518FC"/>
    <w:rsid w:val="00B54840"/>
    <w:rsid w:val="00B54E94"/>
    <w:rsid w:val="00B55EE7"/>
    <w:rsid w:val="00B567C0"/>
    <w:rsid w:val="00B56AF0"/>
    <w:rsid w:val="00B56C9D"/>
    <w:rsid w:val="00B5716D"/>
    <w:rsid w:val="00B608B9"/>
    <w:rsid w:val="00B6224E"/>
    <w:rsid w:val="00B6260C"/>
    <w:rsid w:val="00B63369"/>
    <w:rsid w:val="00B639AF"/>
    <w:rsid w:val="00B65077"/>
    <w:rsid w:val="00B6508C"/>
    <w:rsid w:val="00B66494"/>
    <w:rsid w:val="00B66EFD"/>
    <w:rsid w:val="00B674A5"/>
    <w:rsid w:val="00B67ABA"/>
    <w:rsid w:val="00B707A4"/>
    <w:rsid w:val="00B71E50"/>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3241"/>
    <w:rsid w:val="00B833F1"/>
    <w:rsid w:val="00B839BB"/>
    <w:rsid w:val="00B8482E"/>
    <w:rsid w:val="00B84A9F"/>
    <w:rsid w:val="00B84AC2"/>
    <w:rsid w:val="00B84B13"/>
    <w:rsid w:val="00B84D94"/>
    <w:rsid w:val="00B84EB1"/>
    <w:rsid w:val="00B8642D"/>
    <w:rsid w:val="00B869B3"/>
    <w:rsid w:val="00B90899"/>
    <w:rsid w:val="00B94582"/>
    <w:rsid w:val="00B947FA"/>
    <w:rsid w:val="00B94F17"/>
    <w:rsid w:val="00B952DE"/>
    <w:rsid w:val="00B95FB9"/>
    <w:rsid w:val="00B960CF"/>
    <w:rsid w:val="00B96326"/>
    <w:rsid w:val="00B96B8E"/>
    <w:rsid w:val="00B96D9D"/>
    <w:rsid w:val="00B96DD8"/>
    <w:rsid w:val="00B970BB"/>
    <w:rsid w:val="00B97F38"/>
    <w:rsid w:val="00BA09B8"/>
    <w:rsid w:val="00BA0D35"/>
    <w:rsid w:val="00BA1AD2"/>
    <w:rsid w:val="00BA2BB7"/>
    <w:rsid w:val="00BA2BC7"/>
    <w:rsid w:val="00BA2D28"/>
    <w:rsid w:val="00BA3102"/>
    <w:rsid w:val="00BA3243"/>
    <w:rsid w:val="00BA3FE9"/>
    <w:rsid w:val="00BA45C5"/>
    <w:rsid w:val="00BA6504"/>
    <w:rsid w:val="00BA6B43"/>
    <w:rsid w:val="00BA70B6"/>
    <w:rsid w:val="00BA70CC"/>
    <w:rsid w:val="00BA77B1"/>
    <w:rsid w:val="00BA7C6A"/>
    <w:rsid w:val="00BA7D78"/>
    <w:rsid w:val="00BB146E"/>
    <w:rsid w:val="00BB1574"/>
    <w:rsid w:val="00BB15E2"/>
    <w:rsid w:val="00BB193D"/>
    <w:rsid w:val="00BB1A73"/>
    <w:rsid w:val="00BB39A1"/>
    <w:rsid w:val="00BB3A4E"/>
    <w:rsid w:val="00BB41EC"/>
    <w:rsid w:val="00BB5233"/>
    <w:rsid w:val="00BB6253"/>
    <w:rsid w:val="00BB64FD"/>
    <w:rsid w:val="00BB6B1D"/>
    <w:rsid w:val="00BB6B4D"/>
    <w:rsid w:val="00BB73F3"/>
    <w:rsid w:val="00BC1AC2"/>
    <w:rsid w:val="00BC323C"/>
    <w:rsid w:val="00BC445D"/>
    <w:rsid w:val="00BC475E"/>
    <w:rsid w:val="00BC5CB1"/>
    <w:rsid w:val="00BC63B7"/>
    <w:rsid w:val="00BC7483"/>
    <w:rsid w:val="00BD0C63"/>
    <w:rsid w:val="00BD0F15"/>
    <w:rsid w:val="00BD1EE2"/>
    <w:rsid w:val="00BD1FE6"/>
    <w:rsid w:val="00BD2CCD"/>
    <w:rsid w:val="00BD2F6C"/>
    <w:rsid w:val="00BD391A"/>
    <w:rsid w:val="00BD522F"/>
    <w:rsid w:val="00BD5BFC"/>
    <w:rsid w:val="00BD6077"/>
    <w:rsid w:val="00BD61B0"/>
    <w:rsid w:val="00BD6BF9"/>
    <w:rsid w:val="00BD6DB7"/>
    <w:rsid w:val="00BD7071"/>
    <w:rsid w:val="00BD7543"/>
    <w:rsid w:val="00BD79FF"/>
    <w:rsid w:val="00BE0366"/>
    <w:rsid w:val="00BE1838"/>
    <w:rsid w:val="00BE3726"/>
    <w:rsid w:val="00BE387F"/>
    <w:rsid w:val="00BE3AF9"/>
    <w:rsid w:val="00BE3BF2"/>
    <w:rsid w:val="00BE4873"/>
    <w:rsid w:val="00BE4D4E"/>
    <w:rsid w:val="00BE5BA5"/>
    <w:rsid w:val="00BE5DDD"/>
    <w:rsid w:val="00BE6281"/>
    <w:rsid w:val="00BE6EF1"/>
    <w:rsid w:val="00BE7BD3"/>
    <w:rsid w:val="00BE7E69"/>
    <w:rsid w:val="00BE7EC5"/>
    <w:rsid w:val="00BF02CF"/>
    <w:rsid w:val="00BF0425"/>
    <w:rsid w:val="00BF123A"/>
    <w:rsid w:val="00BF22F9"/>
    <w:rsid w:val="00BF4AA8"/>
    <w:rsid w:val="00BF503C"/>
    <w:rsid w:val="00BF604D"/>
    <w:rsid w:val="00BF6422"/>
    <w:rsid w:val="00BF7AE6"/>
    <w:rsid w:val="00BF7AF4"/>
    <w:rsid w:val="00C002AF"/>
    <w:rsid w:val="00C002E7"/>
    <w:rsid w:val="00C00660"/>
    <w:rsid w:val="00C0097C"/>
    <w:rsid w:val="00C013C1"/>
    <w:rsid w:val="00C0253A"/>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8C1"/>
    <w:rsid w:val="00C12CA1"/>
    <w:rsid w:val="00C136DE"/>
    <w:rsid w:val="00C15021"/>
    <w:rsid w:val="00C1596C"/>
    <w:rsid w:val="00C1656B"/>
    <w:rsid w:val="00C16810"/>
    <w:rsid w:val="00C16B09"/>
    <w:rsid w:val="00C17998"/>
    <w:rsid w:val="00C17AFC"/>
    <w:rsid w:val="00C20261"/>
    <w:rsid w:val="00C206F4"/>
    <w:rsid w:val="00C208A1"/>
    <w:rsid w:val="00C20EBA"/>
    <w:rsid w:val="00C21132"/>
    <w:rsid w:val="00C219A7"/>
    <w:rsid w:val="00C22642"/>
    <w:rsid w:val="00C22CBC"/>
    <w:rsid w:val="00C24651"/>
    <w:rsid w:val="00C24F7D"/>
    <w:rsid w:val="00C25019"/>
    <w:rsid w:val="00C2526C"/>
    <w:rsid w:val="00C27F16"/>
    <w:rsid w:val="00C313B6"/>
    <w:rsid w:val="00C31E38"/>
    <w:rsid w:val="00C3222A"/>
    <w:rsid w:val="00C32637"/>
    <w:rsid w:val="00C32BEA"/>
    <w:rsid w:val="00C32E6C"/>
    <w:rsid w:val="00C33561"/>
    <w:rsid w:val="00C337C7"/>
    <w:rsid w:val="00C3391E"/>
    <w:rsid w:val="00C353DB"/>
    <w:rsid w:val="00C35A57"/>
    <w:rsid w:val="00C36528"/>
    <w:rsid w:val="00C3718D"/>
    <w:rsid w:val="00C37760"/>
    <w:rsid w:val="00C409BB"/>
    <w:rsid w:val="00C40F28"/>
    <w:rsid w:val="00C41542"/>
    <w:rsid w:val="00C4161A"/>
    <w:rsid w:val="00C416E0"/>
    <w:rsid w:val="00C41D46"/>
    <w:rsid w:val="00C431D3"/>
    <w:rsid w:val="00C46671"/>
    <w:rsid w:val="00C475A7"/>
    <w:rsid w:val="00C47796"/>
    <w:rsid w:val="00C47BE3"/>
    <w:rsid w:val="00C47F5B"/>
    <w:rsid w:val="00C501BB"/>
    <w:rsid w:val="00C5199A"/>
    <w:rsid w:val="00C523EF"/>
    <w:rsid w:val="00C53AE0"/>
    <w:rsid w:val="00C543DC"/>
    <w:rsid w:val="00C54887"/>
    <w:rsid w:val="00C54D6D"/>
    <w:rsid w:val="00C558D3"/>
    <w:rsid w:val="00C559CC"/>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5276"/>
    <w:rsid w:val="00C659D0"/>
    <w:rsid w:val="00C65BD1"/>
    <w:rsid w:val="00C67DE3"/>
    <w:rsid w:val="00C70493"/>
    <w:rsid w:val="00C72127"/>
    <w:rsid w:val="00C724DE"/>
    <w:rsid w:val="00C72A69"/>
    <w:rsid w:val="00C7364B"/>
    <w:rsid w:val="00C73E16"/>
    <w:rsid w:val="00C74B16"/>
    <w:rsid w:val="00C7539A"/>
    <w:rsid w:val="00C754D1"/>
    <w:rsid w:val="00C756FC"/>
    <w:rsid w:val="00C7658E"/>
    <w:rsid w:val="00C77139"/>
    <w:rsid w:val="00C7739F"/>
    <w:rsid w:val="00C77EE9"/>
    <w:rsid w:val="00C80219"/>
    <w:rsid w:val="00C8092F"/>
    <w:rsid w:val="00C8149E"/>
    <w:rsid w:val="00C84FE5"/>
    <w:rsid w:val="00C8513C"/>
    <w:rsid w:val="00C855F5"/>
    <w:rsid w:val="00C85912"/>
    <w:rsid w:val="00C87043"/>
    <w:rsid w:val="00C876EF"/>
    <w:rsid w:val="00C91333"/>
    <w:rsid w:val="00C927DC"/>
    <w:rsid w:val="00C92DA7"/>
    <w:rsid w:val="00C92FFD"/>
    <w:rsid w:val="00C9308C"/>
    <w:rsid w:val="00C948DB"/>
    <w:rsid w:val="00C9492C"/>
    <w:rsid w:val="00C949C8"/>
    <w:rsid w:val="00C95893"/>
    <w:rsid w:val="00C95A55"/>
    <w:rsid w:val="00C95B54"/>
    <w:rsid w:val="00C95C6F"/>
    <w:rsid w:val="00C95CAB"/>
    <w:rsid w:val="00C9674E"/>
    <w:rsid w:val="00C9688E"/>
    <w:rsid w:val="00C97563"/>
    <w:rsid w:val="00C978D4"/>
    <w:rsid w:val="00CA0915"/>
    <w:rsid w:val="00CA0C90"/>
    <w:rsid w:val="00CA1661"/>
    <w:rsid w:val="00CA1FCE"/>
    <w:rsid w:val="00CA2176"/>
    <w:rsid w:val="00CA3038"/>
    <w:rsid w:val="00CA31B2"/>
    <w:rsid w:val="00CA467E"/>
    <w:rsid w:val="00CA4E21"/>
    <w:rsid w:val="00CA550B"/>
    <w:rsid w:val="00CA5C50"/>
    <w:rsid w:val="00CA5EC8"/>
    <w:rsid w:val="00CA65A0"/>
    <w:rsid w:val="00CA6795"/>
    <w:rsid w:val="00CA700D"/>
    <w:rsid w:val="00CB16A3"/>
    <w:rsid w:val="00CB1758"/>
    <w:rsid w:val="00CB26BA"/>
    <w:rsid w:val="00CB28F4"/>
    <w:rsid w:val="00CB4B95"/>
    <w:rsid w:val="00CB5056"/>
    <w:rsid w:val="00CB5467"/>
    <w:rsid w:val="00CC0227"/>
    <w:rsid w:val="00CC0EC8"/>
    <w:rsid w:val="00CC1265"/>
    <w:rsid w:val="00CC2A34"/>
    <w:rsid w:val="00CC32A7"/>
    <w:rsid w:val="00CC33F2"/>
    <w:rsid w:val="00CC3524"/>
    <w:rsid w:val="00CC3978"/>
    <w:rsid w:val="00CC3D92"/>
    <w:rsid w:val="00CC4274"/>
    <w:rsid w:val="00CC4A2B"/>
    <w:rsid w:val="00CC4CE1"/>
    <w:rsid w:val="00CC4E5A"/>
    <w:rsid w:val="00CC5E3D"/>
    <w:rsid w:val="00CC65B6"/>
    <w:rsid w:val="00CC694F"/>
    <w:rsid w:val="00CD0861"/>
    <w:rsid w:val="00CD1169"/>
    <w:rsid w:val="00CD2346"/>
    <w:rsid w:val="00CD25E8"/>
    <w:rsid w:val="00CD3413"/>
    <w:rsid w:val="00CD3BF6"/>
    <w:rsid w:val="00CD4B40"/>
    <w:rsid w:val="00CD571E"/>
    <w:rsid w:val="00CD580A"/>
    <w:rsid w:val="00CD5FE2"/>
    <w:rsid w:val="00CD793B"/>
    <w:rsid w:val="00CE09C4"/>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2231"/>
    <w:rsid w:val="00CF232D"/>
    <w:rsid w:val="00CF2E12"/>
    <w:rsid w:val="00CF5120"/>
    <w:rsid w:val="00CF532E"/>
    <w:rsid w:val="00CF5365"/>
    <w:rsid w:val="00CF62B7"/>
    <w:rsid w:val="00CF6976"/>
    <w:rsid w:val="00CF77B9"/>
    <w:rsid w:val="00CF7D24"/>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EB"/>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B8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6C0E"/>
    <w:rsid w:val="00D478EE"/>
    <w:rsid w:val="00D47D5D"/>
    <w:rsid w:val="00D47F2D"/>
    <w:rsid w:val="00D500A8"/>
    <w:rsid w:val="00D50CA4"/>
    <w:rsid w:val="00D513D2"/>
    <w:rsid w:val="00D517E9"/>
    <w:rsid w:val="00D52B2A"/>
    <w:rsid w:val="00D5377D"/>
    <w:rsid w:val="00D53954"/>
    <w:rsid w:val="00D53966"/>
    <w:rsid w:val="00D53A71"/>
    <w:rsid w:val="00D53EB9"/>
    <w:rsid w:val="00D54BB3"/>
    <w:rsid w:val="00D557FD"/>
    <w:rsid w:val="00D55C89"/>
    <w:rsid w:val="00D562D0"/>
    <w:rsid w:val="00D56344"/>
    <w:rsid w:val="00D56742"/>
    <w:rsid w:val="00D60520"/>
    <w:rsid w:val="00D609E1"/>
    <w:rsid w:val="00D63511"/>
    <w:rsid w:val="00D64DB3"/>
    <w:rsid w:val="00D66CD3"/>
    <w:rsid w:val="00D67F9F"/>
    <w:rsid w:val="00D704CB"/>
    <w:rsid w:val="00D71DA8"/>
    <w:rsid w:val="00D71DC6"/>
    <w:rsid w:val="00D725BF"/>
    <w:rsid w:val="00D72A42"/>
    <w:rsid w:val="00D72D98"/>
    <w:rsid w:val="00D73D8E"/>
    <w:rsid w:val="00D74030"/>
    <w:rsid w:val="00D742B4"/>
    <w:rsid w:val="00D746DF"/>
    <w:rsid w:val="00D76D73"/>
    <w:rsid w:val="00D77A42"/>
    <w:rsid w:val="00D77CB7"/>
    <w:rsid w:val="00D8043F"/>
    <w:rsid w:val="00D818DB"/>
    <w:rsid w:val="00D81CAF"/>
    <w:rsid w:val="00D822A8"/>
    <w:rsid w:val="00D822EA"/>
    <w:rsid w:val="00D823F9"/>
    <w:rsid w:val="00D824B2"/>
    <w:rsid w:val="00D826CF"/>
    <w:rsid w:val="00D8308F"/>
    <w:rsid w:val="00D83137"/>
    <w:rsid w:val="00D839DF"/>
    <w:rsid w:val="00D8418E"/>
    <w:rsid w:val="00D84888"/>
    <w:rsid w:val="00D84D53"/>
    <w:rsid w:val="00D86234"/>
    <w:rsid w:val="00D86B5D"/>
    <w:rsid w:val="00D86B9E"/>
    <w:rsid w:val="00D878B5"/>
    <w:rsid w:val="00D87A25"/>
    <w:rsid w:val="00D87F0E"/>
    <w:rsid w:val="00D901E7"/>
    <w:rsid w:val="00D902D0"/>
    <w:rsid w:val="00D903C3"/>
    <w:rsid w:val="00D91072"/>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825"/>
    <w:rsid w:val="00DA4178"/>
    <w:rsid w:val="00DA6487"/>
    <w:rsid w:val="00DA6A76"/>
    <w:rsid w:val="00DA7554"/>
    <w:rsid w:val="00DA7799"/>
    <w:rsid w:val="00DB0434"/>
    <w:rsid w:val="00DB200D"/>
    <w:rsid w:val="00DB2A5C"/>
    <w:rsid w:val="00DB3CE5"/>
    <w:rsid w:val="00DB4455"/>
    <w:rsid w:val="00DB5860"/>
    <w:rsid w:val="00DB5B96"/>
    <w:rsid w:val="00DB65AB"/>
    <w:rsid w:val="00DB690E"/>
    <w:rsid w:val="00DB6AE9"/>
    <w:rsid w:val="00DB6E02"/>
    <w:rsid w:val="00DB74E9"/>
    <w:rsid w:val="00DB76D2"/>
    <w:rsid w:val="00DC04CC"/>
    <w:rsid w:val="00DC06A7"/>
    <w:rsid w:val="00DC1E1C"/>
    <w:rsid w:val="00DC1ED3"/>
    <w:rsid w:val="00DC1F19"/>
    <w:rsid w:val="00DC3894"/>
    <w:rsid w:val="00DC3BB4"/>
    <w:rsid w:val="00DC3EAE"/>
    <w:rsid w:val="00DC5581"/>
    <w:rsid w:val="00DC6FC4"/>
    <w:rsid w:val="00DC7071"/>
    <w:rsid w:val="00DC739F"/>
    <w:rsid w:val="00DC7C9B"/>
    <w:rsid w:val="00DD06EB"/>
    <w:rsid w:val="00DD20D3"/>
    <w:rsid w:val="00DD23E7"/>
    <w:rsid w:val="00DD269D"/>
    <w:rsid w:val="00DD2D36"/>
    <w:rsid w:val="00DD30B8"/>
    <w:rsid w:val="00DD50CC"/>
    <w:rsid w:val="00DD60A5"/>
    <w:rsid w:val="00DD60CF"/>
    <w:rsid w:val="00DD648B"/>
    <w:rsid w:val="00DD6B12"/>
    <w:rsid w:val="00DD6F55"/>
    <w:rsid w:val="00DD74E1"/>
    <w:rsid w:val="00DE088E"/>
    <w:rsid w:val="00DE101C"/>
    <w:rsid w:val="00DE2620"/>
    <w:rsid w:val="00DE396F"/>
    <w:rsid w:val="00DE455E"/>
    <w:rsid w:val="00DE4658"/>
    <w:rsid w:val="00DE4674"/>
    <w:rsid w:val="00DE50B9"/>
    <w:rsid w:val="00DE549E"/>
    <w:rsid w:val="00DE6E00"/>
    <w:rsid w:val="00DE7350"/>
    <w:rsid w:val="00DE7726"/>
    <w:rsid w:val="00DE7BE4"/>
    <w:rsid w:val="00DF0A62"/>
    <w:rsid w:val="00DF1BDB"/>
    <w:rsid w:val="00DF23A0"/>
    <w:rsid w:val="00DF2C5B"/>
    <w:rsid w:val="00DF3779"/>
    <w:rsid w:val="00DF3856"/>
    <w:rsid w:val="00DF4AC7"/>
    <w:rsid w:val="00DF500B"/>
    <w:rsid w:val="00DF76F0"/>
    <w:rsid w:val="00E0145A"/>
    <w:rsid w:val="00E01AF4"/>
    <w:rsid w:val="00E01B00"/>
    <w:rsid w:val="00E01B19"/>
    <w:rsid w:val="00E02F5E"/>
    <w:rsid w:val="00E033EC"/>
    <w:rsid w:val="00E04573"/>
    <w:rsid w:val="00E055A2"/>
    <w:rsid w:val="00E05719"/>
    <w:rsid w:val="00E05A2C"/>
    <w:rsid w:val="00E063D9"/>
    <w:rsid w:val="00E0782F"/>
    <w:rsid w:val="00E079A7"/>
    <w:rsid w:val="00E1004A"/>
    <w:rsid w:val="00E10B9F"/>
    <w:rsid w:val="00E11091"/>
    <w:rsid w:val="00E11216"/>
    <w:rsid w:val="00E11618"/>
    <w:rsid w:val="00E11BA4"/>
    <w:rsid w:val="00E11CB7"/>
    <w:rsid w:val="00E1457F"/>
    <w:rsid w:val="00E14EF3"/>
    <w:rsid w:val="00E14F11"/>
    <w:rsid w:val="00E1517D"/>
    <w:rsid w:val="00E165AB"/>
    <w:rsid w:val="00E16BA7"/>
    <w:rsid w:val="00E17716"/>
    <w:rsid w:val="00E17FC0"/>
    <w:rsid w:val="00E20E09"/>
    <w:rsid w:val="00E232F3"/>
    <w:rsid w:val="00E23C53"/>
    <w:rsid w:val="00E25C9D"/>
    <w:rsid w:val="00E27F41"/>
    <w:rsid w:val="00E30C6C"/>
    <w:rsid w:val="00E318FD"/>
    <w:rsid w:val="00E31F83"/>
    <w:rsid w:val="00E320D3"/>
    <w:rsid w:val="00E33975"/>
    <w:rsid w:val="00E339B3"/>
    <w:rsid w:val="00E33B26"/>
    <w:rsid w:val="00E341C1"/>
    <w:rsid w:val="00E36A8F"/>
    <w:rsid w:val="00E370D4"/>
    <w:rsid w:val="00E37838"/>
    <w:rsid w:val="00E37CAB"/>
    <w:rsid w:val="00E37D66"/>
    <w:rsid w:val="00E37EEB"/>
    <w:rsid w:val="00E40AE9"/>
    <w:rsid w:val="00E4140F"/>
    <w:rsid w:val="00E4161C"/>
    <w:rsid w:val="00E41FFA"/>
    <w:rsid w:val="00E42211"/>
    <w:rsid w:val="00E42A65"/>
    <w:rsid w:val="00E4303F"/>
    <w:rsid w:val="00E447EA"/>
    <w:rsid w:val="00E460A0"/>
    <w:rsid w:val="00E465D1"/>
    <w:rsid w:val="00E46A98"/>
    <w:rsid w:val="00E46CC6"/>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C18"/>
    <w:rsid w:val="00E642EC"/>
    <w:rsid w:val="00E64495"/>
    <w:rsid w:val="00E65048"/>
    <w:rsid w:val="00E6551B"/>
    <w:rsid w:val="00E6683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D4"/>
    <w:rsid w:val="00E858F9"/>
    <w:rsid w:val="00E85900"/>
    <w:rsid w:val="00E85F86"/>
    <w:rsid w:val="00E8672D"/>
    <w:rsid w:val="00E8691A"/>
    <w:rsid w:val="00E86BA3"/>
    <w:rsid w:val="00E86BF0"/>
    <w:rsid w:val="00E8706B"/>
    <w:rsid w:val="00E87D69"/>
    <w:rsid w:val="00E90D85"/>
    <w:rsid w:val="00E92112"/>
    <w:rsid w:val="00E92397"/>
    <w:rsid w:val="00E92442"/>
    <w:rsid w:val="00E92ACE"/>
    <w:rsid w:val="00E9450E"/>
    <w:rsid w:val="00E94E99"/>
    <w:rsid w:val="00E95C5C"/>
    <w:rsid w:val="00E9663A"/>
    <w:rsid w:val="00E97092"/>
    <w:rsid w:val="00E9738D"/>
    <w:rsid w:val="00EA09E4"/>
    <w:rsid w:val="00EA0E0C"/>
    <w:rsid w:val="00EA25F4"/>
    <w:rsid w:val="00EA3F64"/>
    <w:rsid w:val="00EA3F97"/>
    <w:rsid w:val="00EA42AC"/>
    <w:rsid w:val="00EA4502"/>
    <w:rsid w:val="00EA5AAC"/>
    <w:rsid w:val="00EA6B81"/>
    <w:rsid w:val="00EA6B91"/>
    <w:rsid w:val="00EA6E17"/>
    <w:rsid w:val="00EB02B6"/>
    <w:rsid w:val="00EB1D79"/>
    <w:rsid w:val="00EB28AE"/>
    <w:rsid w:val="00EB3418"/>
    <w:rsid w:val="00EB4DDF"/>
    <w:rsid w:val="00EB507C"/>
    <w:rsid w:val="00EB5A5F"/>
    <w:rsid w:val="00EB7D2D"/>
    <w:rsid w:val="00EC1BCB"/>
    <w:rsid w:val="00EC1C36"/>
    <w:rsid w:val="00EC2546"/>
    <w:rsid w:val="00EC302B"/>
    <w:rsid w:val="00EC30E1"/>
    <w:rsid w:val="00EC31EB"/>
    <w:rsid w:val="00EC40D8"/>
    <w:rsid w:val="00EC473C"/>
    <w:rsid w:val="00EC62B3"/>
    <w:rsid w:val="00EC7914"/>
    <w:rsid w:val="00ED1424"/>
    <w:rsid w:val="00ED1695"/>
    <w:rsid w:val="00ED19F9"/>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64D"/>
    <w:rsid w:val="00EE6196"/>
    <w:rsid w:val="00EE64C3"/>
    <w:rsid w:val="00EE66A2"/>
    <w:rsid w:val="00EE75D1"/>
    <w:rsid w:val="00EE7CFC"/>
    <w:rsid w:val="00EE7D46"/>
    <w:rsid w:val="00EE7D58"/>
    <w:rsid w:val="00EF06D5"/>
    <w:rsid w:val="00EF109A"/>
    <w:rsid w:val="00EF15E9"/>
    <w:rsid w:val="00EF1B45"/>
    <w:rsid w:val="00EF26CE"/>
    <w:rsid w:val="00EF41C5"/>
    <w:rsid w:val="00EF43DF"/>
    <w:rsid w:val="00EF60BF"/>
    <w:rsid w:val="00EF65B6"/>
    <w:rsid w:val="00EF680A"/>
    <w:rsid w:val="00EF6C02"/>
    <w:rsid w:val="00EF761C"/>
    <w:rsid w:val="00F008DB"/>
    <w:rsid w:val="00F00DFC"/>
    <w:rsid w:val="00F00F1C"/>
    <w:rsid w:val="00F01173"/>
    <w:rsid w:val="00F0277F"/>
    <w:rsid w:val="00F04007"/>
    <w:rsid w:val="00F04072"/>
    <w:rsid w:val="00F04CF8"/>
    <w:rsid w:val="00F056B4"/>
    <w:rsid w:val="00F056E7"/>
    <w:rsid w:val="00F06418"/>
    <w:rsid w:val="00F064D5"/>
    <w:rsid w:val="00F06540"/>
    <w:rsid w:val="00F071C7"/>
    <w:rsid w:val="00F07C15"/>
    <w:rsid w:val="00F101FA"/>
    <w:rsid w:val="00F10B12"/>
    <w:rsid w:val="00F11B4E"/>
    <w:rsid w:val="00F11E38"/>
    <w:rsid w:val="00F12519"/>
    <w:rsid w:val="00F12F2A"/>
    <w:rsid w:val="00F13334"/>
    <w:rsid w:val="00F13770"/>
    <w:rsid w:val="00F13870"/>
    <w:rsid w:val="00F13A27"/>
    <w:rsid w:val="00F14A7C"/>
    <w:rsid w:val="00F16C26"/>
    <w:rsid w:val="00F170E8"/>
    <w:rsid w:val="00F176D6"/>
    <w:rsid w:val="00F17D67"/>
    <w:rsid w:val="00F2003A"/>
    <w:rsid w:val="00F20A6A"/>
    <w:rsid w:val="00F21EC9"/>
    <w:rsid w:val="00F22062"/>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4226"/>
    <w:rsid w:val="00F45421"/>
    <w:rsid w:val="00F46278"/>
    <w:rsid w:val="00F46A65"/>
    <w:rsid w:val="00F47EAB"/>
    <w:rsid w:val="00F50DCC"/>
    <w:rsid w:val="00F51DF1"/>
    <w:rsid w:val="00F52FD6"/>
    <w:rsid w:val="00F537F8"/>
    <w:rsid w:val="00F55643"/>
    <w:rsid w:val="00F5569B"/>
    <w:rsid w:val="00F56291"/>
    <w:rsid w:val="00F566AD"/>
    <w:rsid w:val="00F5709D"/>
    <w:rsid w:val="00F5765C"/>
    <w:rsid w:val="00F600D1"/>
    <w:rsid w:val="00F61892"/>
    <w:rsid w:val="00F61B04"/>
    <w:rsid w:val="00F61C18"/>
    <w:rsid w:val="00F628BE"/>
    <w:rsid w:val="00F62E0E"/>
    <w:rsid w:val="00F63251"/>
    <w:rsid w:val="00F640B6"/>
    <w:rsid w:val="00F64466"/>
    <w:rsid w:val="00F64D60"/>
    <w:rsid w:val="00F64F99"/>
    <w:rsid w:val="00F65951"/>
    <w:rsid w:val="00F67371"/>
    <w:rsid w:val="00F67B02"/>
    <w:rsid w:val="00F67E59"/>
    <w:rsid w:val="00F70C9A"/>
    <w:rsid w:val="00F70F1D"/>
    <w:rsid w:val="00F7185A"/>
    <w:rsid w:val="00F723B2"/>
    <w:rsid w:val="00F72668"/>
    <w:rsid w:val="00F727AD"/>
    <w:rsid w:val="00F74D09"/>
    <w:rsid w:val="00F74FCC"/>
    <w:rsid w:val="00F750DB"/>
    <w:rsid w:val="00F75AF6"/>
    <w:rsid w:val="00F777F2"/>
    <w:rsid w:val="00F77981"/>
    <w:rsid w:val="00F77A5E"/>
    <w:rsid w:val="00F80B4E"/>
    <w:rsid w:val="00F80DA1"/>
    <w:rsid w:val="00F81005"/>
    <w:rsid w:val="00F81249"/>
    <w:rsid w:val="00F819CD"/>
    <w:rsid w:val="00F81ED1"/>
    <w:rsid w:val="00F81F11"/>
    <w:rsid w:val="00F81FD3"/>
    <w:rsid w:val="00F83109"/>
    <w:rsid w:val="00F836F4"/>
    <w:rsid w:val="00F8380D"/>
    <w:rsid w:val="00F83BE0"/>
    <w:rsid w:val="00F841DC"/>
    <w:rsid w:val="00F84F80"/>
    <w:rsid w:val="00F85805"/>
    <w:rsid w:val="00F86542"/>
    <w:rsid w:val="00F86DB5"/>
    <w:rsid w:val="00F8745B"/>
    <w:rsid w:val="00F87CA3"/>
    <w:rsid w:val="00F90687"/>
    <w:rsid w:val="00F94A6C"/>
    <w:rsid w:val="00F95431"/>
    <w:rsid w:val="00F958C2"/>
    <w:rsid w:val="00F959A9"/>
    <w:rsid w:val="00F968D1"/>
    <w:rsid w:val="00F97D4B"/>
    <w:rsid w:val="00FA10A3"/>
    <w:rsid w:val="00FA1688"/>
    <w:rsid w:val="00FA200E"/>
    <w:rsid w:val="00FA3401"/>
    <w:rsid w:val="00FA4267"/>
    <w:rsid w:val="00FA477A"/>
    <w:rsid w:val="00FA4C13"/>
    <w:rsid w:val="00FA6627"/>
    <w:rsid w:val="00FA6B79"/>
    <w:rsid w:val="00FA6FA7"/>
    <w:rsid w:val="00FA7146"/>
    <w:rsid w:val="00FA7A0B"/>
    <w:rsid w:val="00FB0635"/>
    <w:rsid w:val="00FB15EF"/>
    <w:rsid w:val="00FB1FEE"/>
    <w:rsid w:val="00FB384B"/>
    <w:rsid w:val="00FB3B89"/>
    <w:rsid w:val="00FB4303"/>
    <w:rsid w:val="00FB46DC"/>
    <w:rsid w:val="00FB4A4A"/>
    <w:rsid w:val="00FB4D27"/>
    <w:rsid w:val="00FB5730"/>
    <w:rsid w:val="00FB5848"/>
    <w:rsid w:val="00FB619F"/>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72C"/>
    <w:rsid w:val="00FD19C8"/>
    <w:rsid w:val="00FD1B74"/>
    <w:rsid w:val="00FD20AE"/>
    <w:rsid w:val="00FD25DC"/>
    <w:rsid w:val="00FD3369"/>
    <w:rsid w:val="00FD3815"/>
    <w:rsid w:val="00FD3FC1"/>
    <w:rsid w:val="00FD415B"/>
    <w:rsid w:val="00FD4897"/>
    <w:rsid w:val="00FD4D36"/>
    <w:rsid w:val="00FD5B50"/>
    <w:rsid w:val="00FD622E"/>
    <w:rsid w:val="00FD78A9"/>
    <w:rsid w:val="00FD7BE7"/>
    <w:rsid w:val="00FD7C41"/>
    <w:rsid w:val="00FD7D29"/>
    <w:rsid w:val="00FD7D8A"/>
    <w:rsid w:val="00FE03F7"/>
    <w:rsid w:val="00FE0478"/>
    <w:rsid w:val="00FE135C"/>
    <w:rsid w:val="00FE20E1"/>
    <w:rsid w:val="00FE25DE"/>
    <w:rsid w:val="00FE3F20"/>
    <w:rsid w:val="00FE4409"/>
    <w:rsid w:val="00FE4AC0"/>
    <w:rsid w:val="00FE4DC5"/>
    <w:rsid w:val="00FE4F73"/>
    <w:rsid w:val="00FE6807"/>
    <w:rsid w:val="00FF0352"/>
    <w:rsid w:val="00FF041D"/>
    <w:rsid w:val="00FF0F40"/>
    <w:rsid w:val="00FF2618"/>
    <w:rsid w:val="00FF4238"/>
    <w:rsid w:val="00FF4877"/>
    <w:rsid w:val="00FF6045"/>
    <w:rsid w:val="00FF688E"/>
    <w:rsid w:val="00FF6AE9"/>
    <w:rsid w:val="00FF6EFF"/>
    <w:rsid w:val="00FF7482"/>
    <w:rsid w:val="00FF7665"/>
    <w:rsid w:val="011B3A37"/>
    <w:rsid w:val="02CF6F25"/>
    <w:rsid w:val="04664061"/>
    <w:rsid w:val="05005B80"/>
    <w:rsid w:val="053038C3"/>
    <w:rsid w:val="05C544E4"/>
    <w:rsid w:val="05ED4065"/>
    <w:rsid w:val="0871751B"/>
    <w:rsid w:val="09E63A1C"/>
    <w:rsid w:val="0A6A40F9"/>
    <w:rsid w:val="0A994033"/>
    <w:rsid w:val="0AD95147"/>
    <w:rsid w:val="0B1C19C3"/>
    <w:rsid w:val="0CA41575"/>
    <w:rsid w:val="0CB9262E"/>
    <w:rsid w:val="0CE9036A"/>
    <w:rsid w:val="0CEC0FA9"/>
    <w:rsid w:val="0D6E598A"/>
    <w:rsid w:val="0E1C5880"/>
    <w:rsid w:val="11305980"/>
    <w:rsid w:val="118060C6"/>
    <w:rsid w:val="12834FC5"/>
    <w:rsid w:val="136B478A"/>
    <w:rsid w:val="139C0CDA"/>
    <w:rsid w:val="13E97D5F"/>
    <w:rsid w:val="14FE36EE"/>
    <w:rsid w:val="151F48C8"/>
    <w:rsid w:val="163A5A56"/>
    <w:rsid w:val="178E6914"/>
    <w:rsid w:val="17A93173"/>
    <w:rsid w:val="18F267B9"/>
    <w:rsid w:val="18FA6CF8"/>
    <w:rsid w:val="19277AEB"/>
    <w:rsid w:val="1B330108"/>
    <w:rsid w:val="1B545985"/>
    <w:rsid w:val="1DC470E1"/>
    <w:rsid w:val="2012366B"/>
    <w:rsid w:val="215D29FA"/>
    <w:rsid w:val="217A0D48"/>
    <w:rsid w:val="21E66F14"/>
    <w:rsid w:val="226E0371"/>
    <w:rsid w:val="23E73B16"/>
    <w:rsid w:val="23F37CE9"/>
    <w:rsid w:val="24957AA3"/>
    <w:rsid w:val="258C53B1"/>
    <w:rsid w:val="26505580"/>
    <w:rsid w:val="26552264"/>
    <w:rsid w:val="266017DE"/>
    <w:rsid w:val="268C39C5"/>
    <w:rsid w:val="271D4805"/>
    <w:rsid w:val="27D91EED"/>
    <w:rsid w:val="27E26C91"/>
    <w:rsid w:val="28BA7B7A"/>
    <w:rsid w:val="28F87FD7"/>
    <w:rsid w:val="2A262C93"/>
    <w:rsid w:val="2B4A6CE9"/>
    <w:rsid w:val="313C15D4"/>
    <w:rsid w:val="32556D65"/>
    <w:rsid w:val="3286122A"/>
    <w:rsid w:val="33F236D9"/>
    <w:rsid w:val="369D0FFB"/>
    <w:rsid w:val="37534843"/>
    <w:rsid w:val="376D437F"/>
    <w:rsid w:val="37B643F7"/>
    <w:rsid w:val="37CA60C4"/>
    <w:rsid w:val="381137D0"/>
    <w:rsid w:val="38875B0E"/>
    <w:rsid w:val="38CD48AF"/>
    <w:rsid w:val="38E456C2"/>
    <w:rsid w:val="3D452515"/>
    <w:rsid w:val="3D9B6401"/>
    <w:rsid w:val="3E735443"/>
    <w:rsid w:val="3E9C2E65"/>
    <w:rsid w:val="3F6C4A70"/>
    <w:rsid w:val="42DD1AB1"/>
    <w:rsid w:val="42FD5769"/>
    <w:rsid w:val="43394305"/>
    <w:rsid w:val="43B736B8"/>
    <w:rsid w:val="43C05907"/>
    <w:rsid w:val="44ED71EC"/>
    <w:rsid w:val="452F4438"/>
    <w:rsid w:val="46C0124D"/>
    <w:rsid w:val="470233C1"/>
    <w:rsid w:val="470C3DB1"/>
    <w:rsid w:val="47506C86"/>
    <w:rsid w:val="48381917"/>
    <w:rsid w:val="48474C0F"/>
    <w:rsid w:val="490F359D"/>
    <w:rsid w:val="4ABA65C4"/>
    <w:rsid w:val="4BF564B1"/>
    <w:rsid w:val="4CA97AD3"/>
    <w:rsid w:val="4CE564F8"/>
    <w:rsid w:val="4DC7059C"/>
    <w:rsid w:val="4F4A390E"/>
    <w:rsid w:val="4F914F97"/>
    <w:rsid w:val="4F9E672A"/>
    <w:rsid w:val="4FDB0270"/>
    <w:rsid w:val="51CA4374"/>
    <w:rsid w:val="52481E9E"/>
    <w:rsid w:val="530863B6"/>
    <w:rsid w:val="53680927"/>
    <w:rsid w:val="53D75D5D"/>
    <w:rsid w:val="541B3620"/>
    <w:rsid w:val="551E3E09"/>
    <w:rsid w:val="553E2AD1"/>
    <w:rsid w:val="55C71B7D"/>
    <w:rsid w:val="55CB6289"/>
    <w:rsid w:val="568057D4"/>
    <w:rsid w:val="56862918"/>
    <w:rsid w:val="58885008"/>
    <w:rsid w:val="590B591D"/>
    <w:rsid w:val="59A922CB"/>
    <w:rsid w:val="59F806CD"/>
    <w:rsid w:val="59F959FA"/>
    <w:rsid w:val="5C914F23"/>
    <w:rsid w:val="5D1631A8"/>
    <w:rsid w:val="5D307C11"/>
    <w:rsid w:val="5F4E762C"/>
    <w:rsid w:val="5F8673AE"/>
    <w:rsid w:val="60423C64"/>
    <w:rsid w:val="63546386"/>
    <w:rsid w:val="63FB376C"/>
    <w:rsid w:val="641833E7"/>
    <w:rsid w:val="649315FF"/>
    <w:rsid w:val="64976FD9"/>
    <w:rsid w:val="664C7CB7"/>
    <w:rsid w:val="67EB13E2"/>
    <w:rsid w:val="6813098D"/>
    <w:rsid w:val="69513366"/>
    <w:rsid w:val="69FD4338"/>
    <w:rsid w:val="6B091810"/>
    <w:rsid w:val="6CC65404"/>
    <w:rsid w:val="6D19069C"/>
    <w:rsid w:val="6DD71EDB"/>
    <w:rsid w:val="710F12D7"/>
    <w:rsid w:val="71DB0D8A"/>
    <w:rsid w:val="73715196"/>
    <w:rsid w:val="74E57CBF"/>
    <w:rsid w:val="76461C9C"/>
    <w:rsid w:val="764A51FE"/>
    <w:rsid w:val="76DF3AB4"/>
    <w:rsid w:val="77C213B0"/>
    <w:rsid w:val="785D228E"/>
    <w:rsid w:val="794370E1"/>
    <w:rsid w:val="79516EF8"/>
    <w:rsid w:val="7BA45A12"/>
    <w:rsid w:val="7BF54E85"/>
    <w:rsid w:val="7C422EA0"/>
    <w:rsid w:val="7D9F259A"/>
    <w:rsid w:val="7FCB4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仿宋_GB2312" w:cs="Times New Roman"/>
      <w:kern w:val="2"/>
      <w:sz w:val="28"/>
      <w:lang w:val="en-US" w:eastAsia="zh-CN" w:bidi="ar-SA"/>
    </w:rPr>
  </w:style>
  <w:style w:type="paragraph" w:styleId="4">
    <w:name w:val="heading 1"/>
    <w:basedOn w:val="1"/>
    <w:next w:val="1"/>
    <w:link w:val="55"/>
    <w:qFormat/>
    <w:uiPriority w:val="0"/>
    <w:pPr>
      <w:keepNext/>
      <w:outlineLvl w:val="0"/>
    </w:pPr>
  </w:style>
  <w:style w:type="paragraph" w:styleId="5">
    <w:name w:val="heading 2"/>
    <w:basedOn w:val="1"/>
    <w:next w:val="1"/>
    <w:link w:val="60"/>
    <w:qFormat/>
    <w:uiPriority w:val="0"/>
    <w:pPr>
      <w:keepNext/>
      <w:keepLines/>
      <w:spacing w:before="260" w:after="260" w:line="416" w:lineRule="auto"/>
      <w:outlineLvl w:val="1"/>
    </w:pPr>
    <w:rPr>
      <w:rFonts w:ascii="Cambria" w:hAnsi="Cambria" w:eastAsia="宋体"/>
      <w:b/>
      <w:bCs/>
      <w:sz w:val="32"/>
      <w:szCs w:val="32"/>
    </w:rPr>
  </w:style>
  <w:style w:type="paragraph" w:styleId="6">
    <w:name w:val="heading 4"/>
    <w:basedOn w:val="1"/>
    <w:next w:val="1"/>
    <w:qFormat/>
    <w:uiPriority w:val="0"/>
    <w:pPr>
      <w:keepNext/>
      <w:spacing w:line="560" w:lineRule="exact"/>
      <w:ind w:firstLine="613" w:firstLineChars="219"/>
      <w:outlineLvl w:val="3"/>
    </w:pPr>
    <w:rPr>
      <w:rFonts w:ascii="宋体" w:hAnsi="宋体" w:eastAsia="宋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8"/>
    </w:rPr>
  </w:style>
  <w:style w:type="paragraph" w:styleId="3">
    <w:name w:val="Body Text"/>
    <w:basedOn w:val="1"/>
    <w:qFormat/>
    <w:uiPriority w:val="0"/>
    <w:rPr>
      <w:sz w:val="21"/>
    </w:rPr>
  </w:style>
  <w:style w:type="paragraph" w:styleId="7">
    <w:name w:val="Normal Indent"/>
    <w:basedOn w:val="1"/>
    <w:link w:val="56"/>
    <w:qFormat/>
    <w:uiPriority w:val="0"/>
    <w:pPr>
      <w:ind w:firstLine="420" w:firstLineChars="200"/>
    </w:pPr>
  </w:style>
  <w:style w:type="paragraph" w:styleId="8">
    <w:name w:val="caption"/>
    <w:basedOn w:val="1"/>
    <w:next w:val="1"/>
    <w:qFormat/>
    <w:uiPriority w:val="0"/>
    <w:pPr>
      <w:spacing w:before="152" w:after="160"/>
    </w:pPr>
    <w:rPr>
      <w:rFonts w:ascii="Arial" w:hAnsi="Arial" w:eastAsia="黑体" w:cs="Arial"/>
      <w:sz w:val="20"/>
    </w:rPr>
  </w:style>
  <w:style w:type="paragraph" w:styleId="9">
    <w:name w:val="Document Map"/>
    <w:basedOn w:val="1"/>
    <w:qFormat/>
    <w:uiPriority w:val="0"/>
    <w:pPr>
      <w:shd w:val="clear" w:color="auto" w:fill="000080"/>
    </w:pPr>
    <w:rPr>
      <w:rFonts w:eastAsia="宋体"/>
      <w:sz w:val="21"/>
    </w:rPr>
  </w:style>
  <w:style w:type="paragraph" w:styleId="10">
    <w:name w:val="annotation text"/>
    <w:basedOn w:val="1"/>
    <w:qFormat/>
    <w:uiPriority w:val="0"/>
  </w:style>
  <w:style w:type="paragraph" w:styleId="11">
    <w:name w:val="Body Text Indent"/>
    <w:basedOn w:val="1"/>
    <w:link w:val="105"/>
    <w:qFormat/>
    <w:uiPriority w:val="0"/>
    <w:pPr>
      <w:autoSpaceDE w:val="0"/>
      <w:autoSpaceDN w:val="0"/>
      <w:adjustRightInd w:val="0"/>
      <w:spacing w:line="540" w:lineRule="exact"/>
      <w:ind w:right="-120" w:firstLine="743"/>
    </w:pPr>
    <w:rPr>
      <w:rFonts w:ascii="仿宋_GB2312"/>
      <w:kern w:val="0"/>
      <w:sz w:val="30"/>
    </w:rPr>
  </w:style>
  <w:style w:type="paragraph" w:styleId="12">
    <w:name w:val="Block Text"/>
    <w:basedOn w:val="1"/>
    <w:qFormat/>
    <w:uiPriority w:val="0"/>
    <w:pPr>
      <w:tabs>
        <w:tab w:val="left" w:pos="7315"/>
      </w:tabs>
      <w:ind w:left="-144" w:leftChars="-72" w:right="-100" w:rightChars="-50" w:firstLine="560" w:firstLineChars="200"/>
    </w:pPr>
    <w:rPr>
      <w:rFonts w:ascii="仿宋_GB2312"/>
      <w:kern w:val="0"/>
    </w:rPr>
  </w:style>
  <w:style w:type="paragraph" w:styleId="13">
    <w:name w:val="Plain Text"/>
    <w:basedOn w:val="1"/>
    <w:link w:val="54"/>
    <w:qFormat/>
    <w:uiPriority w:val="0"/>
    <w:rPr>
      <w:rFonts w:ascii="宋体" w:hAnsi="Courier New" w:eastAsia="宋体" w:cs="Courier New"/>
      <w:sz w:val="21"/>
      <w:szCs w:val="21"/>
    </w:rPr>
  </w:style>
  <w:style w:type="paragraph" w:styleId="14">
    <w:name w:val="Date"/>
    <w:basedOn w:val="1"/>
    <w:next w:val="1"/>
    <w:qFormat/>
    <w:uiPriority w:val="0"/>
    <w:rPr>
      <w:rFonts w:ascii="仿宋_GB2312"/>
      <w:sz w:val="32"/>
    </w:rPr>
  </w:style>
  <w:style w:type="paragraph" w:styleId="15">
    <w:name w:val="Body Text Indent 2"/>
    <w:basedOn w:val="1"/>
    <w:qFormat/>
    <w:uiPriority w:val="0"/>
    <w:pPr>
      <w:autoSpaceDE w:val="0"/>
      <w:autoSpaceDN w:val="0"/>
      <w:adjustRightInd w:val="0"/>
      <w:ind w:firstLine="428"/>
    </w:pPr>
    <w:rPr>
      <w:rFonts w:ascii="仿宋_GB2312"/>
      <w:kern w:val="0"/>
    </w:rPr>
  </w:style>
  <w:style w:type="paragraph" w:styleId="16">
    <w:name w:val="Balloon Text"/>
    <w:basedOn w:val="1"/>
    <w:link w:val="104"/>
    <w:qFormat/>
    <w:uiPriority w:val="99"/>
    <w:rPr>
      <w:sz w:val="18"/>
      <w:szCs w:val="18"/>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rFonts w:eastAsia="宋体"/>
      <w:sz w:val="18"/>
    </w:rPr>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lang w:val="zh-CN"/>
    </w:rPr>
  </w:style>
  <w:style w:type="paragraph" w:styleId="20">
    <w:name w:val="Body Text Indent 3"/>
    <w:basedOn w:val="1"/>
    <w:qFormat/>
    <w:uiPriority w:val="0"/>
    <w:pPr>
      <w:spacing w:line="640" w:lineRule="exact"/>
      <w:ind w:left="-164" w:firstLine="791"/>
    </w:pPr>
    <w:rPr>
      <w:rFonts w:ascii="仿宋_GB2312"/>
      <w:sz w:val="30"/>
    </w:rPr>
  </w:style>
  <w:style w:type="paragraph" w:styleId="21">
    <w:name w:val="Body Text 2"/>
    <w:basedOn w:val="1"/>
    <w:qFormat/>
    <w:uiPriority w:val="0"/>
    <w:pPr>
      <w:spacing w:line="540" w:lineRule="exact"/>
    </w:pPr>
    <w:rPr>
      <w:rFonts w:ascii="仿宋_GB2312"/>
      <w:sz w:val="30"/>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kern w:val="0"/>
      <w:sz w:val="24"/>
      <w:szCs w:val="24"/>
    </w:rPr>
  </w:style>
  <w:style w:type="paragraph" w:styleId="23">
    <w:name w:val="Normal (Web)"/>
    <w:basedOn w:val="1"/>
    <w:qFormat/>
    <w:uiPriority w:val="0"/>
    <w:pPr>
      <w:spacing w:before="100" w:beforeAutospacing="1" w:after="100" w:afterAutospacing="1"/>
    </w:pPr>
    <w:rPr>
      <w:rFonts w:ascii="宋体" w:hAnsi="宋体" w:eastAsia="宋体" w:cs="宋体"/>
      <w:kern w:val="0"/>
      <w:sz w:val="24"/>
      <w:szCs w:val="24"/>
    </w:rPr>
  </w:style>
  <w:style w:type="paragraph" w:styleId="24">
    <w:name w:val="index 1"/>
    <w:basedOn w:val="1"/>
    <w:next w:val="1"/>
    <w:qFormat/>
    <w:uiPriority w:val="0"/>
    <w:pPr>
      <w:jc w:val="center"/>
    </w:pPr>
    <w:rPr>
      <w:rFonts w:ascii="宋体" w:hAnsi="宋体" w:eastAsia="宋体"/>
      <w:bCs/>
      <w:color w:val="FF0000"/>
      <w:sz w:val="21"/>
      <w:szCs w:val="21"/>
    </w:rPr>
  </w:style>
  <w:style w:type="paragraph" w:styleId="25">
    <w:name w:val="annotation subject"/>
    <w:basedOn w:val="10"/>
    <w:next w:val="10"/>
    <w:qFormat/>
    <w:uiPriority w:val="0"/>
    <w:rPr>
      <w:b/>
      <w:bCs/>
    </w:rPr>
  </w:style>
  <w:style w:type="paragraph" w:styleId="26">
    <w:name w:val="Body Text First Indent 2"/>
    <w:basedOn w:val="11"/>
    <w:next w:val="27"/>
    <w:link w:val="106"/>
    <w:qFormat/>
    <w:uiPriority w:val="0"/>
    <w:pPr>
      <w:autoSpaceDE/>
      <w:autoSpaceDN/>
      <w:adjustRightInd/>
      <w:spacing w:after="120" w:line="360" w:lineRule="auto"/>
      <w:ind w:left="420" w:leftChars="200" w:right="0" w:firstLine="420" w:firstLineChars="200"/>
    </w:pPr>
    <w:rPr>
      <w:rFonts w:ascii="Times New Roman"/>
      <w:kern w:val="2"/>
      <w:sz w:val="28"/>
    </w:rPr>
  </w:style>
  <w:style w:type="paragraph" w:customStyle="1" w:styleId="27">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000000"/>
      <w:u w:val="none"/>
    </w:rPr>
  </w:style>
  <w:style w:type="character" w:styleId="34">
    <w:name w:val="line number"/>
    <w:qFormat/>
    <w:uiPriority w:val="0"/>
  </w:style>
  <w:style w:type="character" w:styleId="35">
    <w:name w:val="Hyperlink"/>
    <w:qFormat/>
    <w:uiPriority w:val="0"/>
    <w:rPr>
      <w:color w:val="136EC2"/>
      <w:u w:val="single"/>
    </w:rPr>
  </w:style>
  <w:style w:type="character" w:styleId="36">
    <w:name w:val="annotation reference"/>
    <w:qFormat/>
    <w:uiPriority w:val="0"/>
    <w:rPr>
      <w:sz w:val="21"/>
      <w:szCs w:val="21"/>
    </w:rPr>
  </w:style>
  <w:style w:type="character" w:customStyle="1" w:styleId="37">
    <w:name w:val="表格 Char"/>
    <w:link w:val="38"/>
    <w:qFormat/>
    <w:uiPriority w:val="0"/>
    <w:rPr>
      <w:kern w:val="2"/>
      <w:sz w:val="24"/>
      <w:szCs w:val="24"/>
    </w:rPr>
  </w:style>
  <w:style w:type="paragraph" w:customStyle="1" w:styleId="38">
    <w:name w:val="表格"/>
    <w:basedOn w:val="1"/>
    <w:link w:val="37"/>
    <w:qFormat/>
    <w:uiPriority w:val="0"/>
    <w:pPr>
      <w:jc w:val="center"/>
    </w:pPr>
    <w:rPr>
      <w:rFonts w:eastAsia="宋体"/>
      <w:sz w:val="24"/>
      <w:szCs w:val="24"/>
    </w:rPr>
  </w:style>
  <w:style w:type="character" w:customStyle="1" w:styleId="39">
    <w:name w:val="页码1"/>
    <w:basedOn w:val="30"/>
    <w:qFormat/>
    <w:uiPriority w:val="0"/>
  </w:style>
  <w:style w:type="character" w:customStyle="1" w:styleId="40">
    <w:name w:val="bl91"/>
    <w:qFormat/>
    <w:uiPriority w:val="0"/>
    <w:rPr>
      <w:color w:val="000000"/>
      <w:sz w:val="18"/>
      <w:szCs w:val="18"/>
    </w:rPr>
  </w:style>
  <w:style w:type="character" w:customStyle="1" w:styleId="41">
    <w:name w:val="hover32"/>
    <w:basedOn w:val="30"/>
    <w:qFormat/>
    <w:uiPriority w:val="0"/>
  </w:style>
  <w:style w:type="character" w:customStyle="1" w:styleId="42">
    <w:name w:val="radio-btn"/>
    <w:basedOn w:val="30"/>
    <w:qFormat/>
    <w:uiPriority w:val="0"/>
  </w:style>
  <w:style w:type="character" w:customStyle="1" w:styleId="43">
    <w:name w:val="cur"/>
    <w:qFormat/>
    <w:uiPriority w:val="0"/>
    <w:rPr>
      <w:color w:val="FFFFFF"/>
      <w:shd w:val="clear" w:color="auto" w:fill="0C79CC"/>
    </w:rPr>
  </w:style>
  <w:style w:type="character" w:customStyle="1" w:styleId="44">
    <w:name w:val="表格 普通文字 Char"/>
    <w:link w:val="45"/>
    <w:qFormat/>
    <w:locked/>
    <w:uiPriority w:val="0"/>
    <w:rPr>
      <w:rFonts w:eastAsia="仿宋_GB2312"/>
      <w:sz w:val="21"/>
      <w:szCs w:val="21"/>
      <w:lang w:bidi="ar-SA"/>
    </w:rPr>
  </w:style>
  <w:style w:type="paragraph" w:customStyle="1" w:styleId="45">
    <w:name w:val="表格 普通文字"/>
    <w:basedOn w:val="1"/>
    <w:link w:val="44"/>
    <w:qFormat/>
    <w:uiPriority w:val="0"/>
    <w:pPr>
      <w:jc w:val="center"/>
    </w:pPr>
    <w:rPr>
      <w:kern w:val="0"/>
      <w:sz w:val="21"/>
      <w:szCs w:val="21"/>
    </w:rPr>
  </w:style>
  <w:style w:type="character" w:customStyle="1" w:styleId="46">
    <w:name w:val="页眉 Char"/>
    <w:link w:val="18"/>
    <w:qFormat/>
    <w:uiPriority w:val="0"/>
    <w:rPr>
      <w:kern w:val="2"/>
      <w:sz w:val="18"/>
    </w:rPr>
  </w:style>
  <w:style w:type="character" w:customStyle="1" w:styleId="47">
    <w:name w:val="纯文本 Char"/>
    <w:qFormat/>
    <w:uiPriority w:val="0"/>
    <w:rPr>
      <w:rFonts w:ascii="宋体" w:hAnsi="Courier New" w:eastAsia="宋体"/>
      <w:kern w:val="2"/>
      <w:sz w:val="21"/>
      <w:lang w:val="en-US" w:eastAsia="zh-CN" w:bidi="ar-SA"/>
    </w:rPr>
  </w:style>
  <w:style w:type="character" w:customStyle="1" w:styleId="48">
    <w:name w:val="lable"/>
    <w:qFormat/>
    <w:uiPriority w:val="0"/>
    <w:rPr>
      <w:sz w:val="19"/>
      <w:szCs w:val="19"/>
    </w:rPr>
  </w:style>
  <w:style w:type="character" w:customStyle="1" w:styleId="49">
    <w:name w:val="表格 首行文字 Char"/>
    <w:link w:val="50"/>
    <w:qFormat/>
    <w:locked/>
    <w:uiPriority w:val="0"/>
    <w:rPr>
      <w:rFonts w:eastAsia="仿宋_GB2312"/>
      <w:b/>
      <w:kern w:val="2"/>
      <w:sz w:val="21"/>
      <w:szCs w:val="22"/>
      <w:lang w:bidi="ar-SA"/>
    </w:rPr>
  </w:style>
  <w:style w:type="paragraph" w:customStyle="1" w:styleId="50">
    <w:name w:val="表格 首行文字"/>
    <w:basedOn w:val="1"/>
    <w:link w:val="49"/>
    <w:qFormat/>
    <w:uiPriority w:val="0"/>
    <w:pPr>
      <w:jc w:val="center"/>
    </w:pPr>
    <w:rPr>
      <w:b/>
      <w:sz w:val="21"/>
      <w:szCs w:val="22"/>
    </w:rPr>
  </w:style>
  <w:style w:type="character" w:customStyle="1" w:styleId="51">
    <w:name w:val="标题1"/>
    <w:basedOn w:val="30"/>
    <w:qFormat/>
    <w:uiPriority w:val="0"/>
  </w:style>
  <w:style w:type="character" w:customStyle="1" w:styleId="52">
    <w:name w:val="页脚 Char"/>
    <w:link w:val="17"/>
    <w:qFormat/>
    <w:uiPriority w:val="99"/>
    <w:rPr>
      <w:rFonts w:eastAsia="仿宋_GB2312"/>
      <w:kern w:val="2"/>
      <w:sz w:val="18"/>
      <w:szCs w:val="18"/>
      <w:lang w:val="en-US" w:eastAsia="zh-CN" w:bidi="ar-SA"/>
    </w:rPr>
  </w:style>
  <w:style w:type="character" w:customStyle="1" w:styleId="53">
    <w:name w:val="正文缩进 Char Char"/>
    <w:qFormat/>
    <w:uiPriority w:val="0"/>
    <w:rPr>
      <w:rFonts w:eastAsia="仿宋_GB2312"/>
      <w:kern w:val="2"/>
      <w:sz w:val="28"/>
      <w:lang w:val="en-US" w:eastAsia="zh-CN" w:bidi="ar-SA"/>
    </w:rPr>
  </w:style>
  <w:style w:type="character" w:customStyle="1" w:styleId="54">
    <w:name w:val="纯文本 Char1"/>
    <w:link w:val="13"/>
    <w:qFormat/>
    <w:uiPriority w:val="0"/>
    <w:rPr>
      <w:rFonts w:ascii="宋体" w:hAnsi="Courier New" w:eastAsia="宋体" w:cs="Courier New"/>
      <w:kern w:val="2"/>
      <w:sz w:val="21"/>
      <w:szCs w:val="21"/>
      <w:lang w:val="en-US" w:eastAsia="zh-CN" w:bidi="ar-SA"/>
    </w:rPr>
  </w:style>
  <w:style w:type="character" w:customStyle="1" w:styleId="55">
    <w:name w:val="标题 1 Char"/>
    <w:link w:val="4"/>
    <w:qFormat/>
    <w:uiPriority w:val="0"/>
    <w:rPr>
      <w:rFonts w:eastAsia="仿宋_GB2312"/>
      <w:kern w:val="2"/>
      <w:sz w:val="28"/>
      <w:lang w:val="en-US" w:eastAsia="zh-CN" w:bidi="ar-SA"/>
    </w:rPr>
  </w:style>
  <w:style w:type="character" w:customStyle="1" w:styleId="56">
    <w:name w:val="正文缩进 Char"/>
    <w:link w:val="7"/>
    <w:qFormat/>
    <w:uiPriority w:val="0"/>
    <w:rPr>
      <w:rFonts w:eastAsia="仿宋_GB2312"/>
      <w:kern w:val="2"/>
      <w:sz w:val="28"/>
      <w:lang w:val="en-US" w:eastAsia="zh-CN" w:bidi="ar-SA"/>
    </w:rPr>
  </w:style>
  <w:style w:type="character" w:customStyle="1" w:styleId="57">
    <w:name w:val="正文（首行缩进两字） Char Char Char Char Char Char Char Char"/>
    <w:qFormat/>
    <w:uiPriority w:val="0"/>
    <w:rPr>
      <w:rFonts w:eastAsia="宋体"/>
      <w:kern w:val="2"/>
      <w:sz w:val="21"/>
      <w:szCs w:val="24"/>
      <w:lang w:val="en-US" w:eastAsia="zh-CN" w:bidi="ar-SA"/>
    </w:rPr>
  </w:style>
  <w:style w:type="character" w:customStyle="1" w:styleId="58">
    <w:name w:val="正文1-1 Char Char"/>
    <w:link w:val="59"/>
    <w:qFormat/>
    <w:uiPriority w:val="0"/>
    <w:rPr>
      <w:rFonts w:ascii="宋体" w:hAnsi="宋体" w:eastAsia="仿宋_GB2312" w:cs="宋体"/>
      <w:sz w:val="28"/>
      <w:szCs w:val="24"/>
      <w:lang w:val="en-US" w:eastAsia="zh-CN" w:bidi="ar-SA"/>
    </w:rPr>
  </w:style>
  <w:style w:type="paragraph" w:customStyle="1" w:styleId="59">
    <w:name w:val="正文1-1"/>
    <w:basedOn w:val="1"/>
    <w:link w:val="58"/>
    <w:qFormat/>
    <w:uiPriority w:val="0"/>
    <w:pPr>
      <w:snapToGrid w:val="0"/>
      <w:ind w:firstLine="200" w:firstLineChars="200"/>
    </w:pPr>
    <w:rPr>
      <w:rFonts w:ascii="宋体" w:hAnsi="宋体" w:cs="宋体"/>
      <w:kern w:val="0"/>
      <w:szCs w:val="24"/>
    </w:rPr>
  </w:style>
  <w:style w:type="character" w:customStyle="1" w:styleId="60">
    <w:name w:val="标题 2 Char"/>
    <w:link w:val="5"/>
    <w:semiHidden/>
    <w:qFormat/>
    <w:uiPriority w:val="0"/>
    <w:rPr>
      <w:rFonts w:ascii="Cambria" w:hAnsi="Cambria" w:eastAsia="宋体" w:cs="Times New Roman"/>
      <w:b/>
      <w:bCs/>
      <w:kern w:val="2"/>
      <w:sz w:val="32"/>
      <w:szCs w:val="32"/>
    </w:rPr>
  </w:style>
  <w:style w:type="paragraph" w:customStyle="1" w:styleId="61">
    <w:name w:val="正文1"/>
    <w:basedOn w:val="1"/>
    <w:qFormat/>
    <w:uiPriority w:val="0"/>
    <w:pPr>
      <w:adjustRightInd w:val="0"/>
      <w:snapToGrid w:val="0"/>
      <w:spacing w:line="480" w:lineRule="exact"/>
      <w:ind w:firstLine="200" w:firstLineChars="200"/>
    </w:pPr>
    <w:rPr>
      <w:sz w:val="24"/>
    </w:rPr>
  </w:style>
  <w:style w:type="paragraph" w:customStyle="1" w:styleId="62">
    <w:name w:val="Char3"/>
    <w:basedOn w:val="1"/>
    <w:qFormat/>
    <w:uiPriority w:val="0"/>
    <w:pPr>
      <w:spacing w:line="240" w:lineRule="exact"/>
      <w:ind w:firstLine="200" w:firstLineChars="200"/>
    </w:pPr>
    <w:rPr>
      <w:rFonts w:eastAsia="宋体"/>
      <w:sz w:val="21"/>
      <w:szCs w:val="24"/>
    </w:rPr>
  </w:style>
  <w:style w:type="paragraph" w:customStyle="1" w:styleId="63">
    <w:name w:val="Char Char1 Char Char Char Char Char Char Char Char Char Char Char Char Char Char Char Char Char Char Char Char1 Char"/>
    <w:basedOn w:val="1"/>
    <w:qFormat/>
    <w:uiPriority w:val="0"/>
    <w:pPr>
      <w:ind w:firstLine="200" w:firstLineChars="200"/>
    </w:pPr>
    <w:rPr>
      <w:rFonts w:ascii="宋体" w:hAnsi="宋体" w:eastAsia="宋体" w:cs="宋体"/>
      <w:sz w:val="24"/>
      <w:szCs w:val="24"/>
    </w:rPr>
  </w:style>
  <w:style w:type="paragraph" w:customStyle="1" w:styleId="64">
    <w:name w:val="小四表文左齐"/>
    <w:basedOn w:val="1"/>
    <w:qFormat/>
    <w:uiPriority w:val="0"/>
    <w:pPr>
      <w:adjustRightInd w:val="0"/>
      <w:snapToGrid w:val="0"/>
      <w:jc w:val="center"/>
    </w:pPr>
    <w:rPr>
      <w:rFonts w:ascii="宋体" w:hAnsi="宋体" w:eastAsia="宋体"/>
      <w:sz w:val="21"/>
      <w:szCs w:val="24"/>
    </w:rPr>
  </w:style>
  <w:style w:type="paragraph" w:customStyle="1" w:styleId="65">
    <w:name w:val="Char4 Char Char Char"/>
    <w:basedOn w:val="1"/>
    <w:qFormat/>
    <w:uiPriority w:val="0"/>
    <w:rPr>
      <w:rFonts w:eastAsia="宋体"/>
      <w:sz w:val="21"/>
    </w:rPr>
  </w:style>
  <w:style w:type="paragraph" w:customStyle="1" w:styleId="66">
    <w:name w:val="正文首行缩进 2 + Times New Roman"/>
    <w:basedOn w:val="1"/>
    <w:qFormat/>
    <w:uiPriority w:val="0"/>
    <w:pPr>
      <w:tabs>
        <w:tab w:val="left" w:pos="0"/>
        <w:tab w:val="left" w:pos="870"/>
      </w:tabs>
      <w:autoSpaceDE w:val="0"/>
      <w:autoSpaceDN w:val="0"/>
      <w:ind w:firstLine="480" w:firstLineChars="200"/>
    </w:pPr>
    <w:rPr>
      <w:rFonts w:hAnsi="宋体" w:eastAsia="宋体"/>
      <w:kern w:val="0"/>
      <w:sz w:val="24"/>
      <w:szCs w:val="24"/>
    </w:rPr>
  </w:style>
  <w:style w:type="paragraph" w:customStyle="1" w:styleId="67">
    <w:name w:val="正文01"/>
    <w:basedOn w:val="7"/>
    <w:qFormat/>
    <w:uiPriority w:val="0"/>
    <w:pPr>
      <w:ind w:firstLine="480"/>
    </w:pPr>
    <w:rPr>
      <w:rFonts w:eastAsia="宋体"/>
      <w:sz w:val="24"/>
    </w:rPr>
  </w:style>
  <w:style w:type="paragraph" w:customStyle="1" w:styleId="68">
    <w:name w:val="表格标题"/>
    <w:basedOn w:val="1"/>
    <w:qFormat/>
    <w:uiPriority w:val="0"/>
    <w:pPr>
      <w:adjustRightInd w:val="0"/>
      <w:spacing w:before="120"/>
      <w:jc w:val="center"/>
      <w:textAlignment w:val="baseline"/>
    </w:pPr>
    <w:rPr>
      <w:rFonts w:eastAsia="文鼎CS中宋"/>
      <w:kern w:val="0"/>
      <w:sz w:val="24"/>
    </w:rPr>
  </w:style>
  <w:style w:type="paragraph" w:customStyle="1" w:styleId="69">
    <w:name w:val="纯文本1"/>
    <w:basedOn w:val="1"/>
    <w:qFormat/>
    <w:uiPriority w:val="0"/>
    <w:rPr>
      <w:rFonts w:ascii="宋体" w:hAnsi="Courier New" w:eastAsia="宋体" w:cs="Courier New"/>
      <w:sz w:val="21"/>
      <w:szCs w:val="21"/>
    </w:rPr>
  </w:style>
  <w:style w:type="paragraph" w:customStyle="1" w:styleId="70">
    <w:name w:val="表"/>
    <w:basedOn w:val="1"/>
    <w:qFormat/>
    <w:uiPriority w:val="0"/>
    <w:pPr>
      <w:snapToGrid w:val="0"/>
      <w:jc w:val="center"/>
    </w:pPr>
    <w:rPr>
      <w:rFonts w:eastAsia="宋体"/>
      <w:spacing w:val="2"/>
      <w:sz w:val="21"/>
    </w:rPr>
  </w:style>
  <w:style w:type="paragraph" w:customStyle="1" w:styleId="71">
    <w:name w:val="Char Char Char Char"/>
    <w:basedOn w:val="1"/>
    <w:qFormat/>
    <w:uiPriority w:val="0"/>
    <w:rPr>
      <w:rFonts w:eastAsia="宋体"/>
      <w:sz w:val="24"/>
      <w:szCs w:val="24"/>
    </w:rPr>
  </w:style>
  <w:style w:type="paragraph" w:customStyle="1" w:styleId="72">
    <w:name w:val="表格文字"/>
    <w:basedOn w:val="1"/>
    <w:qFormat/>
    <w:uiPriority w:val="0"/>
    <w:pPr>
      <w:jc w:val="center"/>
    </w:pPr>
    <w:rPr>
      <w:rFonts w:ascii="仿宋_GB2312" w:hAnsi="Arial Black"/>
      <w:kern w:val="44"/>
      <w:sz w:val="24"/>
    </w:rPr>
  </w:style>
  <w:style w:type="paragraph" w:customStyle="1" w:styleId="73">
    <w:name w:val="xl42"/>
    <w:basedOn w:val="1"/>
    <w:qFormat/>
    <w:uiPriority w:val="0"/>
    <w:pPr>
      <w:pBdr>
        <w:bottom w:val="dotted" w:color="auto" w:sz="4" w:space="0"/>
        <w:right w:val="dotted" w:color="auto" w:sz="4" w:space="0"/>
      </w:pBdr>
      <w:spacing w:before="100" w:beforeAutospacing="1" w:after="100" w:afterAutospacing="1"/>
      <w:jc w:val="center"/>
    </w:pPr>
    <w:rPr>
      <w:rFonts w:eastAsia="宋体"/>
      <w:kern w:val="0"/>
      <w:sz w:val="21"/>
      <w:szCs w:val="21"/>
    </w:rPr>
  </w:style>
  <w:style w:type="paragraph" w:customStyle="1" w:styleId="74">
    <w:name w:val="表文"/>
    <w:basedOn w:val="3"/>
    <w:next w:val="7"/>
    <w:qFormat/>
    <w:uiPriority w:val="0"/>
    <w:pPr>
      <w:jc w:val="center"/>
    </w:pPr>
    <w:rPr>
      <w:rFonts w:ascii="仿宋_GB2312"/>
      <w:szCs w:val="21"/>
    </w:rPr>
  </w:style>
  <w:style w:type="paragraph" w:customStyle="1" w:styleId="75">
    <w:name w:val="正文2"/>
    <w:basedOn w:val="1"/>
    <w:qFormat/>
    <w:uiPriority w:val="0"/>
    <w:pPr>
      <w:adjustRightInd w:val="0"/>
      <w:snapToGrid w:val="0"/>
      <w:spacing w:line="440" w:lineRule="atLeast"/>
      <w:ind w:firstLine="567"/>
    </w:pPr>
    <w:rPr>
      <w:rFonts w:eastAsia="宋体"/>
      <w:sz w:val="24"/>
    </w:rPr>
  </w:style>
  <w:style w:type="paragraph" w:customStyle="1" w:styleId="76">
    <w:name w:val="样式 黑体 小四 加粗 黑色 居中 行距: 固定值 26 磅"/>
    <w:basedOn w:val="1"/>
    <w:next w:val="13"/>
    <w:qFormat/>
    <w:uiPriority w:val="0"/>
    <w:pPr>
      <w:spacing w:line="520" w:lineRule="exact"/>
      <w:jc w:val="center"/>
    </w:pPr>
    <w:rPr>
      <w:rFonts w:ascii="楷体_GB2312" w:hAnsi="黑体" w:eastAsia="楷体_GB2312"/>
      <w:bCs/>
      <w:color w:val="000000"/>
      <w:szCs w:val="28"/>
    </w:rPr>
  </w:style>
  <w:style w:type="paragraph" w:customStyle="1" w:styleId="77">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kern w:val="0"/>
      <w:sz w:val="24"/>
      <w:szCs w:val="24"/>
    </w:rPr>
  </w:style>
  <w:style w:type="paragraph" w:customStyle="1" w:styleId="78">
    <w:name w:val="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79">
    <w:name w:val="xl27"/>
    <w:basedOn w:val="1"/>
    <w:qFormat/>
    <w:uiPriority w:val="0"/>
    <w:pPr>
      <w:pBdr>
        <w:bottom w:val="single" w:color="auto" w:sz="12" w:space="0"/>
      </w:pBdr>
      <w:spacing w:before="100" w:after="100"/>
      <w:jc w:val="center"/>
    </w:pPr>
    <w:rPr>
      <w:rFonts w:ascii="宋体" w:hAnsi="宋体" w:eastAsia="宋体"/>
      <w:kern w:val="0"/>
      <w:sz w:val="21"/>
    </w:rPr>
  </w:style>
  <w:style w:type="paragraph" w:customStyle="1" w:styleId="80">
    <w:name w:val="三级条标题"/>
    <w:basedOn w:val="1"/>
    <w:next w:val="1"/>
    <w:qFormat/>
    <w:uiPriority w:val="0"/>
    <w:pPr>
      <w:tabs>
        <w:tab w:val="left" w:pos="2520"/>
      </w:tabs>
      <w:outlineLvl w:val="4"/>
    </w:pPr>
    <w:rPr>
      <w:rFonts w:ascii="黑体" w:eastAsia="黑体"/>
      <w:kern w:val="0"/>
      <w:sz w:val="21"/>
    </w:rPr>
  </w:style>
  <w:style w:type="paragraph" w:customStyle="1" w:styleId="81">
    <w:name w:val="Char Char Char Char Char Char Char1"/>
    <w:basedOn w:val="1"/>
    <w:qFormat/>
    <w:uiPriority w:val="0"/>
    <w:pPr>
      <w:spacing w:after="160" w:line="240" w:lineRule="exact"/>
    </w:pPr>
    <w:rPr>
      <w:rFonts w:eastAsia="宋体"/>
      <w:sz w:val="21"/>
    </w:rPr>
  </w:style>
  <w:style w:type="paragraph" w:customStyle="1" w:styleId="82">
    <w:name w:val="p0"/>
    <w:basedOn w:val="1"/>
    <w:qFormat/>
    <w:uiPriority w:val="0"/>
    <w:rPr>
      <w:rFonts w:eastAsia="宋体"/>
      <w:kern w:val="0"/>
      <w:szCs w:val="28"/>
    </w:rPr>
  </w:style>
  <w:style w:type="paragraph" w:customStyle="1" w:styleId="83">
    <w:name w:val="br"/>
    <w:basedOn w:val="1"/>
    <w:qFormat/>
    <w:uiPriority w:val="0"/>
    <w:pPr>
      <w:spacing w:before="100" w:beforeAutospacing="1" w:after="100" w:afterAutospacing="1"/>
    </w:pPr>
    <w:rPr>
      <w:rFonts w:ascii="Verdana" w:hAnsi="Verdana" w:eastAsia="宋体"/>
      <w:color w:val="333333"/>
      <w:kern w:val="0"/>
      <w:sz w:val="21"/>
      <w:szCs w:val="21"/>
    </w:rPr>
  </w:style>
  <w:style w:type="paragraph" w:customStyle="1" w:styleId="84">
    <w:name w:val="Char"/>
    <w:basedOn w:val="1"/>
    <w:qFormat/>
    <w:uiPriority w:val="0"/>
    <w:rPr>
      <w:rFonts w:eastAsia="宋体"/>
      <w:sz w:val="21"/>
      <w:szCs w:val="21"/>
    </w:rPr>
  </w:style>
  <w:style w:type="paragraph" w:customStyle="1" w:styleId="85">
    <w:name w:val="新表"/>
    <w:basedOn w:val="1"/>
    <w:qFormat/>
    <w:uiPriority w:val="0"/>
    <w:pPr>
      <w:spacing w:line="360" w:lineRule="exact"/>
    </w:pPr>
    <w:rPr>
      <w:bCs/>
      <w:kern w:val="0"/>
      <w:sz w:val="24"/>
    </w:rPr>
  </w:style>
  <w:style w:type="paragraph" w:customStyle="1" w:styleId="86">
    <w:name w:val="_Style 67"/>
    <w:basedOn w:val="1"/>
    <w:qFormat/>
    <w:uiPriority w:val="0"/>
    <w:pPr>
      <w:spacing w:line="240" w:lineRule="exact"/>
      <w:ind w:firstLine="200" w:firstLineChars="200"/>
    </w:pPr>
    <w:rPr>
      <w:rFonts w:eastAsia="宋体"/>
    </w:rPr>
  </w:style>
  <w:style w:type="paragraph" w:customStyle="1" w:styleId="87">
    <w:name w:val="Char Char Char1"/>
    <w:basedOn w:val="1"/>
    <w:qFormat/>
    <w:uiPriority w:val="0"/>
    <w:rPr>
      <w:rFonts w:eastAsia="宋体"/>
      <w:sz w:val="24"/>
      <w:szCs w:val="24"/>
    </w:rPr>
  </w:style>
  <w:style w:type="paragraph" w:customStyle="1" w:styleId="88">
    <w:name w:val="Char Char Char"/>
    <w:basedOn w:val="1"/>
    <w:qFormat/>
    <w:uiPriority w:val="0"/>
    <w:rPr>
      <w:rFonts w:eastAsia="宋体"/>
      <w:sz w:val="24"/>
      <w:szCs w:val="24"/>
    </w:rPr>
  </w:style>
  <w:style w:type="paragraph" w:customStyle="1" w:styleId="89">
    <w:name w:val="xl3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90">
    <w:name w:val="Char Char Char Char Char Char"/>
    <w:basedOn w:val="1"/>
    <w:qFormat/>
    <w:uiPriority w:val="0"/>
    <w:rPr>
      <w:rFonts w:eastAsia="宋体"/>
      <w:sz w:val="24"/>
      <w:szCs w:val="24"/>
    </w:rPr>
  </w:style>
  <w:style w:type="paragraph" w:customStyle="1" w:styleId="91">
    <w:name w:val="CM16"/>
    <w:basedOn w:val="27"/>
    <w:next w:val="27"/>
    <w:qFormat/>
    <w:uiPriority w:val="0"/>
    <w:pPr>
      <w:spacing w:line="626" w:lineRule="atLeast"/>
    </w:pPr>
    <w:rPr>
      <w:color w:val="auto"/>
      <w:sz w:val="20"/>
    </w:rPr>
  </w:style>
  <w:style w:type="paragraph" w:customStyle="1" w:styleId="92">
    <w:name w:val="Char Char1 Char Char Char Char Char Char Char Char Char Char Char Char Char Char Char Char Char Char Char Char1 Char1"/>
    <w:basedOn w:val="1"/>
    <w:qFormat/>
    <w:uiPriority w:val="0"/>
    <w:pPr>
      <w:ind w:firstLine="200" w:firstLineChars="200"/>
    </w:pPr>
    <w:rPr>
      <w:rFonts w:ascii="宋体" w:hAnsi="宋体" w:eastAsia="宋体" w:cs="宋体"/>
      <w:sz w:val="24"/>
      <w:szCs w:val="24"/>
    </w:rPr>
  </w:style>
  <w:style w:type="paragraph" w:customStyle="1" w:styleId="93">
    <w:name w:val="xl67"/>
    <w:basedOn w:val="1"/>
    <w:qFormat/>
    <w:uiPriority w:val="0"/>
    <w:pPr>
      <w:pBdr>
        <w:left w:val="single" w:color="auto" w:sz="4" w:space="0"/>
      </w:pBdr>
      <w:spacing w:before="100" w:beforeAutospacing="1" w:after="100" w:afterAutospacing="1"/>
      <w:jc w:val="center"/>
    </w:pPr>
    <w:rPr>
      <w:rFonts w:hint="eastAsia" w:ascii="仿宋_GB2312" w:hAnsi="宋体"/>
      <w:kern w:val="0"/>
      <w:sz w:val="24"/>
      <w:szCs w:val="24"/>
    </w:rPr>
  </w:style>
  <w:style w:type="paragraph" w:customStyle="1" w:styleId="94">
    <w:name w:val="Char Char Char2"/>
    <w:basedOn w:val="1"/>
    <w:qFormat/>
    <w:uiPriority w:val="0"/>
    <w:rPr>
      <w:rFonts w:eastAsia="宋体"/>
      <w:sz w:val="24"/>
      <w:szCs w:val="24"/>
    </w:rPr>
  </w:style>
  <w:style w:type="paragraph" w:customStyle="1" w:styleId="95">
    <w:name w:val="纯文本2"/>
    <w:basedOn w:val="1"/>
    <w:qFormat/>
    <w:uiPriority w:val="0"/>
    <w:rPr>
      <w:rFonts w:ascii="宋体" w:hAnsi="Courier New" w:eastAsia="宋体" w:cs="Courier New"/>
      <w:sz w:val="21"/>
      <w:szCs w:val="21"/>
    </w:rPr>
  </w:style>
  <w:style w:type="paragraph" w:customStyle="1" w:styleId="96">
    <w:name w:val="0"/>
    <w:basedOn w:val="1"/>
    <w:qFormat/>
    <w:uiPriority w:val="0"/>
    <w:pPr>
      <w:snapToGrid w:val="0"/>
    </w:pPr>
    <w:rPr>
      <w:rFonts w:eastAsia="宋体"/>
      <w:kern w:val="0"/>
      <w:sz w:val="21"/>
      <w:szCs w:val="21"/>
    </w:rPr>
  </w:style>
  <w:style w:type="paragraph" w:customStyle="1" w:styleId="97">
    <w:name w:val="默认段落字体 Para Char"/>
    <w:basedOn w:val="1"/>
    <w:qFormat/>
    <w:uiPriority w:val="0"/>
    <w:rPr>
      <w:rFonts w:eastAsia="宋体"/>
      <w:sz w:val="24"/>
      <w:szCs w:val="24"/>
    </w:rPr>
  </w:style>
  <w:style w:type="paragraph" w:customStyle="1" w:styleId="98">
    <w:name w:val="样式1"/>
    <w:basedOn w:val="1"/>
    <w:next w:val="12"/>
    <w:qFormat/>
    <w:uiPriority w:val="0"/>
    <w:pPr>
      <w:jc w:val="center"/>
    </w:pPr>
    <w:rPr>
      <w:rFonts w:ascii="宋体" w:hAnsi="宋体" w:eastAsia="宋体"/>
      <w:b/>
      <w:color w:val="000000"/>
      <w:sz w:val="24"/>
      <w:szCs w:val="24"/>
    </w:rPr>
  </w:style>
  <w:style w:type="paragraph" w:customStyle="1" w:styleId="99">
    <w:name w:val="Char Char Char Char Char Char Char Char Char1 Char Char Char Char Char Char Char"/>
    <w:basedOn w:val="1"/>
    <w:qFormat/>
    <w:uiPriority w:val="0"/>
    <w:rPr>
      <w:rFonts w:eastAsia="宋体"/>
      <w:sz w:val="21"/>
      <w:szCs w:val="21"/>
    </w:rPr>
  </w:style>
  <w:style w:type="paragraph" w:customStyle="1" w:styleId="100">
    <w:name w:val="居中正文"/>
    <w:basedOn w:val="2"/>
    <w:qFormat/>
    <w:uiPriority w:val="0"/>
    <w:pPr>
      <w:adjustRightInd w:val="0"/>
      <w:spacing w:before="120" w:after="0"/>
      <w:ind w:firstLine="0" w:firstLineChars="0"/>
      <w:jc w:val="center"/>
      <w:textAlignment w:val="baseline"/>
    </w:pPr>
    <w:rPr>
      <w:rFonts w:ascii="宋体" w:eastAsia="宋体"/>
      <w:kern w:val="28"/>
      <w:sz w:val="24"/>
    </w:rPr>
  </w:style>
  <w:style w:type="paragraph" w:customStyle="1" w:styleId="101">
    <w:name w:val="图文框"/>
    <w:basedOn w:val="1"/>
    <w:qFormat/>
    <w:uiPriority w:val="0"/>
    <w:pPr>
      <w:jc w:val="center"/>
    </w:pPr>
    <w:rPr>
      <w:rFonts w:eastAsia="宋体"/>
      <w:kern w:val="0"/>
      <w:sz w:val="21"/>
      <w:szCs w:val="21"/>
    </w:rPr>
  </w:style>
  <w:style w:type="table" w:customStyle="1" w:styleId="102">
    <w:name w:val="网格型1"/>
    <w:basedOn w:val="28"/>
    <w:qFormat/>
    <w:uiPriority w:val="39"/>
    <w:pPr>
      <w:widowControl w:val="0"/>
      <w:adjustRightInd w:val="0"/>
      <w:snapToGrid w:val="0"/>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时尚中黑简体"/>
        <w:b/>
        <w:sz w:val="21"/>
      </w:rPr>
      <w:tcPr>
        <w:tcBorders>
          <w:bottom w:val="nil"/>
        </w:tcBorders>
      </w:tcPr>
    </w:tblStylePr>
  </w:style>
  <w:style w:type="paragraph" w:customStyle="1" w:styleId="103">
    <w:name w:val="Char Char Char Char Char Char Char Char Char"/>
    <w:basedOn w:val="1"/>
    <w:qFormat/>
    <w:uiPriority w:val="0"/>
    <w:pPr>
      <w:widowControl w:val="0"/>
      <w:spacing w:line="240" w:lineRule="auto"/>
      <w:jc w:val="both"/>
    </w:pPr>
    <w:rPr>
      <w:rFonts w:ascii="Calibri" w:hAnsi="Calibri" w:eastAsia="宋体" w:cs="Calibri"/>
      <w:sz w:val="21"/>
    </w:rPr>
  </w:style>
  <w:style w:type="character" w:customStyle="1" w:styleId="104">
    <w:name w:val="批注框文本 Char"/>
    <w:link w:val="16"/>
    <w:qFormat/>
    <w:uiPriority w:val="99"/>
    <w:rPr>
      <w:rFonts w:eastAsia="仿宋_GB2312"/>
      <w:kern w:val="2"/>
      <w:sz w:val="18"/>
      <w:szCs w:val="18"/>
    </w:rPr>
  </w:style>
  <w:style w:type="character" w:customStyle="1" w:styleId="105">
    <w:name w:val="正文文本缩进 Char"/>
    <w:basedOn w:val="30"/>
    <w:link w:val="11"/>
    <w:qFormat/>
    <w:uiPriority w:val="0"/>
    <w:rPr>
      <w:rFonts w:ascii="仿宋_GB2312" w:eastAsia="仿宋_GB2312"/>
      <w:sz w:val="30"/>
    </w:rPr>
  </w:style>
  <w:style w:type="character" w:customStyle="1" w:styleId="106">
    <w:name w:val="正文首行缩进 2 Char"/>
    <w:basedOn w:val="105"/>
    <w:link w:val="26"/>
    <w:qFormat/>
    <w:uiPriority w:val="0"/>
    <w:rPr>
      <w:rFonts w:ascii="仿宋_GB2312" w:eastAsia="仿宋_GB2312"/>
      <w:kern w:val="2"/>
      <w:sz w:val="28"/>
    </w:rPr>
  </w:style>
  <w:style w:type="paragraph" w:customStyle="1" w:styleId="107">
    <w:name w:val="正文环科院"/>
    <w:basedOn w:val="1"/>
    <w:qFormat/>
    <w:uiPriority w:val="0"/>
    <w:pPr>
      <w:widowControl w:val="0"/>
      <w:snapToGrid w:val="0"/>
      <w:ind w:firstLine="200" w:firstLineChars="200"/>
      <w:jc w:val="both"/>
    </w:pPr>
    <w:rPr>
      <w:rFonts w:hAnsi="Calibri" w:cs="Calibri"/>
      <w:sz w:val="21"/>
    </w:rPr>
  </w:style>
  <w:style w:type="character" w:customStyle="1" w:styleId="108">
    <w:name w:val="表格内容 Char1"/>
    <w:qFormat/>
    <w:uiPriority w:val="0"/>
    <w:rPr>
      <w:rFonts w:ascii="宋体" w:hAnsi="宋体" w:eastAsia="宋体"/>
      <w:color w:val="000000"/>
      <w:kern w:val="2"/>
      <w:sz w:val="21"/>
      <w:szCs w:val="18"/>
      <w:lang w:val="en-US" w:eastAsia="zh-CN" w:bidi="ar-SA"/>
    </w:rPr>
  </w:style>
  <w:style w:type="paragraph" w:customStyle="1" w:styleId="109">
    <w:name w:val="Table Paragraph"/>
    <w:basedOn w:val="1"/>
    <w:qFormat/>
    <w:uiPriority w:val="1"/>
    <w:pPr>
      <w:widowControl w:val="0"/>
      <w:spacing w:line="240" w:lineRule="auto"/>
      <w:jc w:val="center"/>
    </w:pPr>
    <w:rPr>
      <w:rFonts w:ascii="宋体" w:hAnsi="宋体" w:eastAsia="宋体" w:cs="宋体"/>
      <w:kern w:val="0"/>
      <w:sz w:val="22"/>
      <w:szCs w:val="22"/>
      <w:lang w:eastAsia="en-US"/>
    </w:rPr>
  </w:style>
  <w:style w:type="table" w:customStyle="1" w:styleId="11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6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9B5A9-00A7-4EEA-B844-342F42138FC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46861</Words>
  <Characters>12644</Characters>
  <Lines>105</Lines>
  <Paragraphs>118</Paragraphs>
  <TotalTime>5</TotalTime>
  <ScaleCrop>false</ScaleCrop>
  <LinksUpToDate>false</LinksUpToDate>
  <CharactersWithSpaces>59387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2020-04-30T03:09:00Z</dcterms:created>
  <dc:creator>a</dc:creator>
  <cp:lastModifiedBy>苒苒</cp:lastModifiedBy>
  <cp:lastPrinted>2019-02-26T05:37:00Z</cp:lastPrinted>
  <dcterms:modified xsi:type="dcterms:W3CDTF">2020-05-18T05:07:26Z</dcterms:modified>
  <dc:title>mk</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