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宋体"/>
          <w:b/>
          <w:bCs/>
          <w:sz w:val="52"/>
        </w:rPr>
      </w:pPr>
    </w:p>
    <w:p>
      <w:pPr>
        <w:jc w:val="center"/>
        <w:rPr>
          <w:rFonts w:eastAsia="宋体"/>
          <w:b/>
          <w:bCs/>
          <w:sz w:val="52"/>
        </w:rPr>
      </w:pPr>
    </w:p>
    <w:p>
      <w:pPr>
        <w:jc w:val="center"/>
        <w:rPr>
          <w:rFonts w:ascii="黑体" w:hAnsi="黑体" w:eastAsia="黑体"/>
          <w:b/>
          <w:bCs/>
          <w:sz w:val="52"/>
        </w:rPr>
      </w:pPr>
      <w:r>
        <w:rPr>
          <w:rFonts w:ascii="黑体" w:hAnsi="黑体" w:eastAsia="黑体"/>
          <w:b/>
          <w:bCs/>
          <w:sz w:val="52"/>
        </w:rPr>
        <w:t>建设项目环境影响报告表</w:t>
      </w:r>
    </w:p>
    <w:p>
      <w:pPr>
        <w:jc w:val="center"/>
        <w:rPr>
          <w:rFonts w:eastAsia="宋体"/>
        </w:rPr>
      </w:pPr>
    </w:p>
    <w:p>
      <w:pPr>
        <w:jc w:val="center"/>
        <w:rPr>
          <w:rFonts w:eastAsia="宋体"/>
        </w:rPr>
      </w:pPr>
    </w:p>
    <w:p>
      <w:pPr>
        <w:jc w:val="center"/>
        <w:rPr>
          <w:rFonts w:eastAsia="宋体"/>
        </w:rPr>
      </w:pPr>
    </w:p>
    <w:p>
      <w:pPr>
        <w:jc w:val="center"/>
        <w:rPr>
          <w:rFonts w:eastAsia="宋体"/>
        </w:rPr>
      </w:pPr>
    </w:p>
    <w:p>
      <w:pPr>
        <w:rPr>
          <w:rFonts w:eastAsia="宋体"/>
          <w:sz w:val="32"/>
        </w:rPr>
      </w:pPr>
    </w:p>
    <w:p>
      <w:pPr>
        <w:rPr>
          <w:rFonts w:eastAsia="宋体"/>
          <w:sz w:val="32"/>
        </w:rPr>
      </w:pPr>
    </w:p>
    <w:p>
      <w:pPr>
        <w:snapToGrid w:val="0"/>
        <w:rPr>
          <w:rFonts w:ascii="黑体" w:hAnsi="黑体" w:eastAsia="黑体"/>
          <w:sz w:val="32"/>
          <w:szCs w:val="32"/>
        </w:rPr>
      </w:pPr>
      <w:r>
        <w:rPr>
          <w:rFonts w:ascii="黑体" w:hAnsi="黑体" w:eastAsia="黑体"/>
          <w:b/>
          <w:bCs/>
          <w:sz w:val="30"/>
          <w:szCs w:val="30"/>
        </w:rPr>
        <w:t>项 目 名 称 ：</w:t>
      </w:r>
      <w:r>
        <w:rPr>
          <w:rFonts w:eastAsia="宋体"/>
          <w:b/>
          <w:bCs/>
          <w:sz w:val="32"/>
          <w:szCs w:val="32"/>
          <w:u w:val="single"/>
        </w:rPr>
        <w:t xml:space="preserve"> </w:t>
      </w:r>
      <w:r>
        <w:rPr>
          <w:rFonts w:hint="eastAsia" w:eastAsia="宋体"/>
          <w:b/>
          <w:bCs/>
          <w:sz w:val="32"/>
          <w:szCs w:val="32"/>
          <w:u w:val="single"/>
        </w:rPr>
        <w:t xml:space="preserve">    沭阳台州路加油站项目</w:t>
      </w:r>
      <w:r>
        <w:rPr>
          <w:rFonts w:hint="eastAsia" w:ascii="宋体" w:hAnsi="宋体" w:eastAsia="宋体" w:cs="宋体"/>
          <w:b/>
          <w:bCs/>
          <w:sz w:val="32"/>
          <w:szCs w:val="32"/>
          <w:u w:val="single"/>
        </w:rPr>
        <w:t xml:space="preserve">        </w:t>
      </w:r>
    </w:p>
    <w:p>
      <w:pPr>
        <w:rPr>
          <w:rFonts w:ascii="黑体" w:hAnsi="黑体" w:eastAsia="黑体"/>
          <w:b/>
          <w:bCs/>
          <w:sz w:val="30"/>
          <w:szCs w:val="30"/>
        </w:rPr>
      </w:pPr>
    </w:p>
    <w:p>
      <w:pPr>
        <w:rPr>
          <w:rFonts w:ascii="黑体" w:hAnsi="黑体" w:eastAsia="黑体"/>
          <w:b/>
          <w:bCs/>
          <w:szCs w:val="28"/>
          <w:u w:val="thick"/>
        </w:rPr>
      </w:pPr>
      <w:r>
        <w:rPr>
          <w:rFonts w:ascii="黑体" w:hAnsi="黑体" w:eastAsia="黑体"/>
          <w:b/>
          <w:bCs/>
          <w:sz w:val="30"/>
          <w:szCs w:val="30"/>
        </w:rPr>
        <w:t>建设单位（盖章）：</w:t>
      </w:r>
      <w:r>
        <w:rPr>
          <w:rFonts w:hint="eastAsia" w:ascii="黑体" w:hAnsi="黑体" w:eastAsia="黑体"/>
          <w:b/>
          <w:bCs/>
          <w:sz w:val="24"/>
          <w:szCs w:val="24"/>
          <w:u w:val="single"/>
        </w:rPr>
        <w:t>中国石油天然气股份有限公司江苏宿迁销售分公司</w:t>
      </w:r>
    </w:p>
    <w:p>
      <w:pPr>
        <w:jc w:val="center"/>
        <w:rPr>
          <w:rFonts w:eastAsia="宋体"/>
        </w:rPr>
      </w:pPr>
    </w:p>
    <w:p>
      <w:pPr>
        <w:jc w:val="center"/>
        <w:rPr>
          <w:rFonts w:eastAsia="宋体"/>
        </w:rPr>
      </w:pPr>
    </w:p>
    <w:p>
      <w:pPr>
        <w:jc w:val="center"/>
        <w:rPr>
          <w:rFonts w:eastAsia="宋体"/>
        </w:rPr>
      </w:pPr>
    </w:p>
    <w:p>
      <w:pPr>
        <w:jc w:val="center"/>
        <w:rPr>
          <w:rFonts w:eastAsia="宋体"/>
        </w:rPr>
      </w:pPr>
    </w:p>
    <w:p>
      <w:pPr>
        <w:pStyle w:val="25"/>
        <w:ind w:firstLine="280"/>
      </w:pPr>
    </w:p>
    <w:p>
      <w:pPr>
        <w:pStyle w:val="25"/>
        <w:ind w:firstLine="280"/>
      </w:pPr>
    </w:p>
    <w:p>
      <w:pPr>
        <w:rPr>
          <w:rFonts w:eastAsia="宋体"/>
        </w:rPr>
      </w:pPr>
    </w:p>
    <w:p>
      <w:pPr>
        <w:ind w:firstLine="2700" w:firstLineChars="900"/>
        <w:rPr>
          <w:rFonts w:ascii="黑体" w:hAnsi="黑体" w:eastAsia="黑体"/>
          <w:sz w:val="30"/>
        </w:rPr>
        <w:sectPr>
          <w:headerReference r:id="rId3" w:type="default"/>
          <w:footerReference r:id="rId4" w:type="even"/>
          <w:pgSz w:w="11906" w:h="16838"/>
          <w:pgMar w:top="1440" w:right="1701" w:bottom="1440" w:left="1701" w:header="851" w:footer="992" w:gutter="0"/>
          <w:pgNumType w:start="2"/>
          <w:cols w:space="720" w:num="1"/>
          <w:docGrid w:type="lines" w:linePitch="312" w:charSpace="0"/>
        </w:sectPr>
      </w:pPr>
      <w:r>
        <w:rPr>
          <w:rFonts w:ascii="黑体" w:hAnsi="黑体" w:eastAsia="黑体"/>
          <w:sz w:val="30"/>
        </w:rPr>
        <w:t>编制日期：20</w:t>
      </w:r>
      <w:r>
        <w:rPr>
          <w:rFonts w:hint="eastAsia" w:ascii="黑体" w:hAnsi="黑体" w:eastAsia="黑体"/>
          <w:sz w:val="30"/>
        </w:rPr>
        <w:t>20</w:t>
      </w:r>
      <w:r>
        <w:rPr>
          <w:rFonts w:ascii="黑体" w:hAnsi="黑体" w:eastAsia="黑体"/>
          <w:sz w:val="30"/>
        </w:rPr>
        <w:t>年</w:t>
      </w:r>
      <w:r>
        <w:rPr>
          <w:rFonts w:hint="eastAsia" w:ascii="黑体" w:hAnsi="黑体" w:eastAsia="黑体"/>
          <w:sz w:val="30"/>
        </w:rPr>
        <w:t>4</w:t>
      </w:r>
      <w:r>
        <w:rPr>
          <w:rFonts w:ascii="黑体" w:hAnsi="黑体" w:eastAsia="黑体"/>
          <w:sz w:val="30"/>
        </w:rPr>
        <w:t>月</w:t>
      </w:r>
    </w:p>
    <w:p>
      <w:pPr>
        <w:spacing w:line="480" w:lineRule="exact"/>
        <w:jc w:val="center"/>
        <w:rPr>
          <w:rFonts w:eastAsia="宋体"/>
          <w:b/>
          <w:bCs/>
          <w:sz w:val="44"/>
        </w:rPr>
      </w:pPr>
      <w:r>
        <w:rPr>
          <w:rFonts w:eastAsia="宋体"/>
          <w:b/>
          <w:bCs/>
          <w:sz w:val="44"/>
        </w:rPr>
        <w:t>《建设项目环境影响报告表》编制说明</w:t>
      </w:r>
    </w:p>
    <w:p>
      <w:pPr>
        <w:spacing w:line="480" w:lineRule="auto"/>
        <w:jc w:val="center"/>
        <w:rPr>
          <w:rFonts w:eastAsia="宋体"/>
          <w:sz w:val="30"/>
        </w:rPr>
      </w:pPr>
    </w:p>
    <w:p>
      <w:pPr>
        <w:pStyle w:val="10"/>
        <w:spacing w:line="480" w:lineRule="auto"/>
        <w:ind w:firstLine="560" w:firstLineChars="200"/>
        <w:rPr>
          <w:rFonts w:eastAsia="宋体"/>
          <w:sz w:val="28"/>
        </w:rPr>
      </w:pPr>
      <w:r>
        <w:rPr>
          <w:rFonts w:eastAsia="宋体"/>
          <w:sz w:val="28"/>
        </w:rPr>
        <w:t>《建设项目环境影响报告表》由具有从事环境影响评价工作资质的单位编制。</w:t>
      </w:r>
    </w:p>
    <w:p>
      <w:pPr>
        <w:pStyle w:val="10"/>
        <w:spacing w:line="480" w:lineRule="auto"/>
        <w:ind w:firstLine="560" w:firstLineChars="200"/>
        <w:rPr>
          <w:rFonts w:eastAsia="宋体"/>
          <w:sz w:val="28"/>
        </w:rPr>
      </w:pPr>
      <w:r>
        <w:rPr>
          <w:rFonts w:eastAsia="宋体"/>
          <w:sz w:val="28"/>
        </w:rPr>
        <w:t>1.项目名称—指项目立项批复时的名称，应不超过30个字（两个英文字段作一个汉字）。</w:t>
      </w:r>
    </w:p>
    <w:p>
      <w:pPr>
        <w:pStyle w:val="10"/>
        <w:spacing w:line="480" w:lineRule="auto"/>
        <w:ind w:firstLine="560" w:firstLineChars="200"/>
        <w:rPr>
          <w:rFonts w:eastAsia="宋体"/>
          <w:sz w:val="28"/>
        </w:rPr>
      </w:pPr>
      <w:r>
        <w:rPr>
          <w:rFonts w:eastAsia="宋体"/>
          <w:sz w:val="28"/>
        </w:rPr>
        <w:t>2.建设地点—指项目所在地详细地址，公路、铁路应填写起止地点。</w:t>
      </w:r>
    </w:p>
    <w:p>
      <w:pPr>
        <w:pStyle w:val="10"/>
        <w:spacing w:line="480" w:lineRule="auto"/>
        <w:ind w:firstLine="560" w:firstLineChars="200"/>
        <w:rPr>
          <w:rFonts w:eastAsia="宋体"/>
          <w:sz w:val="28"/>
        </w:rPr>
      </w:pPr>
      <w:r>
        <w:rPr>
          <w:rFonts w:eastAsia="宋体"/>
          <w:sz w:val="28"/>
        </w:rPr>
        <w:t>3.行业类别—按国标填写。</w:t>
      </w:r>
    </w:p>
    <w:p>
      <w:pPr>
        <w:pStyle w:val="10"/>
        <w:spacing w:line="480" w:lineRule="auto"/>
        <w:ind w:firstLine="560" w:firstLineChars="200"/>
        <w:rPr>
          <w:rFonts w:eastAsia="宋体"/>
          <w:sz w:val="28"/>
        </w:rPr>
      </w:pPr>
      <w:r>
        <w:rPr>
          <w:rFonts w:eastAsia="宋体"/>
          <w:sz w:val="28"/>
        </w:rPr>
        <w:t>4.总投资—指项目投资总额。</w:t>
      </w:r>
    </w:p>
    <w:p>
      <w:pPr>
        <w:pStyle w:val="10"/>
        <w:spacing w:line="480" w:lineRule="auto"/>
        <w:ind w:firstLine="560" w:firstLineChars="200"/>
        <w:rPr>
          <w:rFonts w:eastAsia="宋体"/>
          <w:sz w:val="28"/>
        </w:rPr>
      </w:pPr>
      <w:r>
        <w:rPr>
          <w:rFonts w:eastAsia="宋体"/>
          <w:sz w:val="28"/>
        </w:rPr>
        <w:t>5.主要环境保护目标—指项目区周围一定范围内集中居民住宅区、学校、医院、保护文物、风景名胜区、水源地和生态敏感点等，应尽可能给出保护目标、性质、规模和距厂界距离等。</w:t>
      </w:r>
    </w:p>
    <w:p>
      <w:pPr>
        <w:pStyle w:val="10"/>
        <w:spacing w:line="480" w:lineRule="auto"/>
        <w:ind w:firstLine="560" w:firstLineChars="200"/>
        <w:rPr>
          <w:rFonts w:eastAsia="宋体"/>
          <w:sz w:val="28"/>
        </w:rPr>
      </w:pPr>
      <w:r>
        <w:rPr>
          <w:rFonts w:eastAsia="宋体"/>
          <w:sz w:val="28"/>
        </w:rPr>
        <w:t>6.结论与建议—给出本项目清洁生产、达标排放和总量控制和分析结论，确定污染防治措施的有效性，说明本项目对环境造成的影响，给出建设项目环境可行性的明确结论。同时提出减少环境影响的其他建议。</w:t>
      </w:r>
    </w:p>
    <w:p>
      <w:pPr>
        <w:pStyle w:val="10"/>
        <w:spacing w:line="480" w:lineRule="auto"/>
        <w:ind w:firstLine="560" w:firstLineChars="200"/>
        <w:rPr>
          <w:rFonts w:eastAsia="宋体"/>
          <w:sz w:val="28"/>
        </w:rPr>
      </w:pPr>
      <w:r>
        <w:rPr>
          <w:rFonts w:eastAsia="宋体"/>
          <w:sz w:val="28"/>
        </w:rPr>
        <w:t>7.预审意见—由行业主管部门填写答复意见，无主管部门项目，可不填。</w:t>
      </w:r>
    </w:p>
    <w:p>
      <w:pPr>
        <w:pStyle w:val="10"/>
        <w:spacing w:line="480" w:lineRule="auto"/>
        <w:ind w:firstLine="560" w:firstLineChars="200"/>
        <w:rPr>
          <w:rFonts w:eastAsia="宋体"/>
          <w:sz w:val="28"/>
        </w:rPr>
      </w:pPr>
      <w:r>
        <w:rPr>
          <w:rFonts w:eastAsia="宋体"/>
          <w:sz w:val="28"/>
        </w:rPr>
        <w:t>8.审批意见—由负责审批该项目的环境保护行政主管部门批复。</w:t>
      </w:r>
    </w:p>
    <w:p>
      <w:pPr>
        <w:spacing w:line="480" w:lineRule="auto"/>
        <w:rPr>
          <w:rFonts w:eastAsia="宋体"/>
        </w:rPr>
      </w:pPr>
    </w:p>
    <w:p/>
    <w:p>
      <w:pPr>
        <w:outlineLvl w:val="0"/>
        <w:rPr>
          <w:rFonts w:eastAsia="宋体"/>
          <w:b/>
        </w:rPr>
        <w:sectPr>
          <w:footerReference r:id="rId5" w:type="default"/>
          <w:pgSz w:w="11907" w:h="16840"/>
          <w:pgMar w:top="1418" w:right="1418" w:bottom="1418" w:left="1418" w:header="851" w:footer="992" w:gutter="0"/>
          <w:pgNumType w:start="1"/>
          <w:cols w:space="720" w:num="1"/>
          <w:docGrid w:linePitch="387" w:charSpace="-5735"/>
        </w:sectPr>
      </w:pPr>
    </w:p>
    <w:p>
      <w:pPr>
        <w:outlineLvl w:val="0"/>
        <w:rPr>
          <w:rFonts w:eastAsia="宋体"/>
          <w:b/>
        </w:rPr>
      </w:pPr>
      <w:r>
        <w:rPr>
          <w:rFonts w:eastAsia="宋体"/>
          <w:b/>
        </w:rPr>
        <w:t>一、建设项目基本情况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14"/>
        <w:gridCol w:w="1286"/>
        <w:gridCol w:w="249"/>
        <w:gridCol w:w="302"/>
        <w:gridCol w:w="831"/>
        <w:gridCol w:w="110"/>
        <w:gridCol w:w="530"/>
        <w:gridCol w:w="438"/>
        <w:gridCol w:w="237"/>
        <w:gridCol w:w="98"/>
        <w:gridCol w:w="182"/>
        <w:gridCol w:w="759"/>
        <w:gridCol w:w="176"/>
        <w:gridCol w:w="336"/>
        <w:gridCol w:w="38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项目名称</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沭阳台州路加油站项目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建设单位</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中国石油天然气股份有限公司江苏宿迁销售分公司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负责人</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顾小芹</w:t>
            </w:r>
          </w:p>
        </w:tc>
        <w:tc>
          <w:tcPr>
            <w:tcW w:w="1413"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联系人</w:t>
            </w:r>
          </w:p>
        </w:tc>
        <w:tc>
          <w:tcPr>
            <w:tcW w:w="2938"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顾小芹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通讯地址</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宿迁市发展大道64号（宿迁新闻中心十楼）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联系电话</w:t>
            </w:r>
          </w:p>
        </w:tc>
        <w:tc>
          <w:tcPr>
            <w:tcW w:w="2551"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18036991715</w:t>
            </w:r>
          </w:p>
        </w:tc>
        <w:tc>
          <w:tcPr>
            <w:tcW w:w="831"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传真</w:t>
            </w:r>
          </w:p>
        </w:tc>
        <w:tc>
          <w:tcPr>
            <w:tcW w:w="1595" w:type="dxa"/>
            <w:gridSpan w:val="6"/>
            <w:vAlign w:val="center"/>
          </w:tcPr>
          <w:p>
            <w:pPr>
              <w:widowControl w:val="0"/>
              <w:tabs>
                <w:tab w:val="center" w:pos="4153"/>
                <w:tab w:val="right" w:pos="8306"/>
              </w:tabs>
              <w:snapToGrid w:val="0"/>
              <w:spacing w:line="240" w:lineRule="auto"/>
              <w:jc w:val="center"/>
              <w:rPr>
                <w:rFonts w:eastAsia="宋体"/>
                <w:sz w:val="24"/>
                <w:szCs w:val="24"/>
              </w:rPr>
            </w:pPr>
          </w:p>
        </w:tc>
        <w:tc>
          <w:tcPr>
            <w:tcW w:w="1271"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邮政编码</w:t>
            </w:r>
          </w:p>
        </w:tc>
        <w:tc>
          <w:tcPr>
            <w:tcW w:w="1485"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223</w:t>
            </w:r>
            <w:r>
              <w:rPr>
                <w:rFonts w:hint="eastAsia" w:eastAsia="宋体"/>
                <w:sz w:val="24"/>
                <w:szCs w:val="24"/>
              </w:rPr>
              <w:t>6</w:t>
            </w:r>
            <w:r>
              <w:rPr>
                <w:rFonts w:eastAsia="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建设地点</w:t>
            </w:r>
          </w:p>
        </w:tc>
        <w:tc>
          <w:tcPr>
            <w:tcW w:w="7733" w:type="dxa"/>
            <w:gridSpan w:val="16"/>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宿迁市沭阳县台州路东侧与京沪高速交叉口南侧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立项审批部门</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江苏省经济贸易委员会</w:t>
            </w:r>
          </w:p>
        </w:tc>
        <w:tc>
          <w:tcPr>
            <w:tcW w:w="1315" w:type="dxa"/>
            <w:gridSpan w:val="4"/>
            <w:vAlign w:val="center"/>
          </w:tcPr>
          <w:p>
            <w:pPr>
              <w:widowControl w:val="0"/>
              <w:tabs>
                <w:tab w:val="center" w:pos="4153"/>
                <w:tab w:val="right" w:pos="8306"/>
              </w:tabs>
              <w:snapToGrid w:val="0"/>
              <w:spacing w:line="240" w:lineRule="auto"/>
              <w:ind w:left="132"/>
              <w:jc w:val="center"/>
              <w:rPr>
                <w:rFonts w:eastAsia="宋体"/>
                <w:sz w:val="24"/>
                <w:szCs w:val="24"/>
              </w:rPr>
            </w:pPr>
            <w:r>
              <w:rPr>
                <w:rFonts w:eastAsia="宋体"/>
                <w:sz w:val="24"/>
                <w:szCs w:val="24"/>
              </w:rPr>
              <w:t>批准文号</w:t>
            </w:r>
          </w:p>
        </w:tc>
        <w:tc>
          <w:tcPr>
            <w:tcW w:w="3036" w:type="dxa"/>
            <w:gridSpan w:val="7"/>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苏经贸商政【2009】68号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建设性质</w:t>
            </w:r>
          </w:p>
        </w:tc>
        <w:tc>
          <w:tcPr>
            <w:tcW w:w="2249"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新建</w:t>
            </w:r>
          </w:p>
        </w:tc>
        <w:tc>
          <w:tcPr>
            <w:tcW w:w="2211"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行业类别及代码</w:t>
            </w:r>
          </w:p>
        </w:tc>
        <w:tc>
          <w:tcPr>
            <w:tcW w:w="3273" w:type="dxa"/>
            <w:gridSpan w:val="8"/>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F5265机动车燃料零售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占地面积（平方米）</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2086.6</w:t>
            </w:r>
          </w:p>
        </w:tc>
        <w:tc>
          <w:tcPr>
            <w:tcW w:w="2530" w:type="dxa"/>
            <w:gridSpan w:val="8"/>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绿化面积</w:t>
            </w:r>
          </w:p>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（平方米）</w:t>
            </w:r>
          </w:p>
        </w:tc>
        <w:tc>
          <w:tcPr>
            <w:tcW w:w="1821" w:type="dxa"/>
            <w:gridSpan w:val="3"/>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总投资（万元）</w:t>
            </w:r>
          </w:p>
        </w:tc>
        <w:tc>
          <w:tcPr>
            <w:tcW w:w="2000" w:type="dxa"/>
            <w:gridSpan w:val="2"/>
            <w:vAlign w:val="center"/>
          </w:tcPr>
          <w:p>
            <w:pPr>
              <w:widowControl w:val="0"/>
              <w:tabs>
                <w:tab w:val="center" w:pos="4153"/>
                <w:tab w:val="right" w:pos="8306"/>
              </w:tabs>
              <w:snapToGrid w:val="0"/>
              <w:spacing w:line="240" w:lineRule="auto"/>
              <w:ind w:firstLine="12"/>
              <w:jc w:val="center"/>
              <w:rPr>
                <w:rFonts w:eastAsia="宋体"/>
                <w:sz w:val="24"/>
                <w:szCs w:val="24"/>
              </w:rPr>
            </w:pPr>
            <w:r>
              <w:rPr>
                <w:rFonts w:hint="eastAsia" w:eastAsia="宋体"/>
                <w:sz w:val="24"/>
                <w:szCs w:val="24"/>
              </w:rPr>
              <w:t>1300</w:t>
            </w:r>
          </w:p>
        </w:tc>
        <w:tc>
          <w:tcPr>
            <w:tcW w:w="202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环保投资（万元）</w:t>
            </w:r>
          </w:p>
        </w:tc>
        <w:tc>
          <w:tcPr>
            <w:tcW w:w="955" w:type="dxa"/>
            <w:gridSpan w:val="4"/>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50</w:t>
            </w:r>
          </w:p>
        </w:tc>
        <w:tc>
          <w:tcPr>
            <w:tcW w:w="1656"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环保投资占总投资比例</w:t>
            </w:r>
          </w:p>
        </w:tc>
        <w:tc>
          <w:tcPr>
            <w:tcW w:w="1100" w:type="dxa"/>
            <w:vAlign w:val="center"/>
          </w:tcPr>
          <w:p>
            <w:pPr>
              <w:pStyle w:val="76"/>
              <w:widowControl w:val="0"/>
              <w:tabs>
                <w:tab w:val="center" w:pos="4153"/>
                <w:tab w:val="right" w:pos="8306"/>
              </w:tabs>
              <w:snapToGrid w:val="0"/>
              <w:spacing w:line="240" w:lineRule="auto"/>
              <w:rPr>
                <w:rFonts w:ascii="Times New Roman" w:hAnsi="Times New Roman" w:eastAsia="宋体"/>
                <w:bCs w:val="0"/>
                <w:color w:val="auto"/>
                <w:sz w:val="24"/>
                <w:szCs w:val="24"/>
              </w:rPr>
            </w:pPr>
            <w:r>
              <w:rPr>
                <w:rFonts w:hint="eastAsia" w:ascii="Times New Roman" w:hAnsi="Times New Roman" w:eastAsia="宋体"/>
                <w:bCs w:val="0"/>
                <w:color w:val="auto"/>
                <w:sz w:val="24"/>
                <w:szCs w:val="24"/>
              </w:rPr>
              <w:t>3.8</w:t>
            </w:r>
            <w:r>
              <w:rPr>
                <w:rFonts w:ascii="Times New Roman" w:hAnsi="Times New Roman" w:eastAsia="宋体"/>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4" w:type="dxa"/>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评价经费（万元）</w:t>
            </w:r>
          </w:p>
        </w:tc>
        <w:tc>
          <w:tcPr>
            <w:tcW w:w="3382"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c>
          <w:tcPr>
            <w:tcW w:w="1595"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拟投产日期</w:t>
            </w:r>
          </w:p>
        </w:tc>
        <w:tc>
          <w:tcPr>
            <w:tcW w:w="2756" w:type="dxa"/>
            <w:gridSpan w:val="5"/>
            <w:vAlign w:val="center"/>
          </w:tcPr>
          <w:p>
            <w:pPr>
              <w:widowControl w:val="0"/>
              <w:tabs>
                <w:tab w:val="center" w:pos="4153"/>
                <w:tab w:val="right" w:pos="8306"/>
              </w:tabs>
              <w:snapToGrid w:val="0"/>
              <w:spacing w:line="240" w:lineRule="auto"/>
              <w:ind w:firstLine="480" w:firstLineChars="200"/>
              <w:jc w:val="center"/>
              <w:rPr>
                <w:rFonts w:eastAsia="宋体"/>
                <w:sz w:val="24"/>
                <w:szCs w:val="24"/>
              </w:rPr>
            </w:pPr>
            <w:r>
              <w:rPr>
                <w:rFonts w:eastAsia="宋体"/>
                <w:sz w:val="24"/>
                <w:szCs w:val="24"/>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7" w:type="dxa"/>
            <w:gridSpan w:val="17"/>
            <w:vAlign w:val="center"/>
          </w:tcPr>
          <w:p>
            <w:pPr>
              <w:pStyle w:val="10"/>
              <w:spacing w:line="500" w:lineRule="exact"/>
              <w:rPr>
                <w:rFonts w:eastAsia="宋体"/>
                <w:sz w:val="24"/>
                <w:szCs w:val="24"/>
              </w:rPr>
            </w:pPr>
            <w:r>
              <w:rPr>
                <w:rFonts w:eastAsia="宋体"/>
                <w:sz w:val="24"/>
                <w:szCs w:val="24"/>
              </w:rPr>
              <w:t>原辅材料（包括名称、年用量），主要产品（包括名称、产量）及主要设施规格数量（包括锅炉、发电机等）</w:t>
            </w:r>
          </w:p>
          <w:p>
            <w:pPr>
              <w:spacing w:line="420" w:lineRule="exact"/>
              <w:ind w:firstLine="480" w:firstLineChars="200"/>
              <w:rPr>
                <w:rFonts w:eastAsia="宋体"/>
                <w:sz w:val="24"/>
                <w:szCs w:val="24"/>
              </w:rPr>
            </w:pPr>
            <w:r>
              <w:rPr>
                <w:rFonts w:eastAsia="宋体"/>
                <w:sz w:val="24"/>
                <w:szCs w:val="24"/>
              </w:rPr>
              <w:t>详见表1-2“产品方案表”、表1-4“主要设备”。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7" w:type="dxa"/>
            <w:gridSpan w:val="17"/>
            <w:vAlign w:val="center"/>
          </w:tcPr>
          <w:p>
            <w:pPr>
              <w:spacing w:line="420" w:lineRule="exact"/>
              <w:rPr>
                <w:rFonts w:eastAsia="宋体"/>
                <w:sz w:val="24"/>
                <w:szCs w:val="24"/>
              </w:rPr>
            </w:pPr>
            <w:r>
              <w:rPr>
                <w:rFonts w:eastAsia="宋体"/>
                <w:sz w:val="24"/>
                <w:szCs w:val="24"/>
              </w:rPr>
              <w:t>水及能源消耗量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  称</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名   称</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水（立方米/年）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hint="eastAsia" w:eastAsia="宋体"/>
                <w:sz w:val="24"/>
                <w:szCs w:val="24"/>
              </w:rPr>
              <w:t>803</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柴油（吨/年）</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电（万千瓦时/年）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6</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燃气（标立方米/年）</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68" w:type="dxa"/>
            <w:gridSpan w:val="2"/>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燃煤（吨/年）</w:t>
            </w:r>
          </w:p>
        </w:tc>
        <w:tc>
          <w:tcPr>
            <w:tcW w:w="2778" w:type="dxa"/>
            <w:gridSpan w:val="5"/>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c>
          <w:tcPr>
            <w:tcW w:w="2244" w:type="dxa"/>
            <w:gridSpan w:val="6"/>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其 它</w:t>
            </w:r>
          </w:p>
        </w:tc>
        <w:tc>
          <w:tcPr>
            <w:tcW w:w="1997" w:type="dxa"/>
            <w:gridSpan w:val="4"/>
            <w:vAlign w:val="center"/>
          </w:tcPr>
          <w:p>
            <w:pPr>
              <w:widowControl w:val="0"/>
              <w:tabs>
                <w:tab w:val="center" w:pos="4153"/>
                <w:tab w:val="right" w:pos="8306"/>
              </w:tabs>
              <w:snapToGrid w:val="0"/>
              <w:spacing w:line="240" w:lineRule="auto"/>
              <w:jc w:val="center"/>
              <w:rPr>
                <w:rFonts w:eastAsia="宋体"/>
                <w:sz w:val="24"/>
                <w:szCs w:val="24"/>
              </w:rPr>
            </w:pP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9287" w:type="dxa"/>
            <w:gridSpan w:val="17"/>
          </w:tcPr>
          <w:p>
            <w:pPr>
              <w:spacing w:before="120" w:beforeLines="50"/>
              <w:rPr>
                <w:rFonts w:eastAsia="宋体"/>
                <w:sz w:val="24"/>
                <w:szCs w:val="24"/>
              </w:rPr>
            </w:pPr>
            <w:r>
              <w:rPr>
                <w:rFonts w:eastAsia="宋体"/>
                <w:sz w:val="24"/>
                <w:szCs w:val="24"/>
              </w:rPr>
              <w:t>废水（生活污水）排水量及排放去向：</w:t>
            </w:r>
          </w:p>
          <w:p>
            <w:pPr>
              <w:spacing w:before="120" w:beforeLines="50"/>
              <w:ind w:firstLine="480" w:firstLineChars="200"/>
              <w:rPr>
                <w:rFonts w:eastAsia="宋体"/>
                <w:sz w:val="24"/>
                <w:szCs w:val="24"/>
              </w:rPr>
            </w:pPr>
            <w:r>
              <w:rPr>
                <w:rFonts w:eastAsia="宋体"/>
                <w:sz w:val="24"/>
                <w:szCs w:val="24"/>
              </w:rPr>
              <w:t>项目实行雨、污分流；雨水排入雨水管道；建设项目无生产废水排放；生活污水产生量</w:t>
            </w:r>
            <w:r>
              <w:rPr>
                <w:rFonts w:hint="eastAsia" w:eastAsia="宋体"/>
                <w:sz w:val="24"/>
                <w:szCs w:val="24"/>
              </w:rPr>
              <w:t>759.2</w:t>
            </w:r>
            <w:r>
              <w:rPr>
                <w:rFonts w:eastAsia="宋体"/>
                <w:sz w:val="24"/>
                <w:szCs w:val="24"/>
              </w:rPr>
              <w:t>t/a，生活污水经化粪池预处理后排入市政污水管网，进入沭阳县城东污水处理</w:t>
            </w:r>
            <w:r>
              <w:rPr>
                <w:rFonts w:hint="eastAsia" w:eastAsia="宋体"/>
                <w:sz w:val="24"/>
                <w:szCs w:val="24"/>
              </w:rPr>
              <w:t>厂</w:t>
            </w:r>
            <w:r>
              <w:rPr>
                <w:rFonts w:eastAsia="宋体"/>
                <w:sz w:val="24"/>
                <w:szCs w:val="24"/>
              </w:rPr>
              <w:t>集中处理，尾水达到《城镇污水处理厂污染物排放标准》（GB18918-2002）中的一级</w:t>
            </w:r>
            <w:r>
              <w:rPr>
                <w:rFonts w:hint="eastAsia" w:eastAsia="宋体"/>
                <w:sz w:val="24"/>
                <w:szCs w:val="24"/>
              </w:rPr>
              <w:t>A</w:t>
            </w:r>
            <w:r>
              <w:rPr>
                <w:rFonts w:eastAsia="宋体"/>
                <w:sz w:val="24"/>
                <w:szCs w:val="24"/>
              </w:rPr>
              <w:t>标准后排入</w:t>
            </w:r>
            <w:r>
              <w:rPr>
                <w:rFonts w:hint="eastAsia" w:eastAsia="宋体"/>
                <w:sz w:val="24"/>
                <w:szCs w:val="24"/>
              </w:rPr>
              <w:t>沂南河</w:t>
            </w:r>
            <w:r>
              <w:rPr>
                <w:rFonts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287" w:type="dxa"/>
            <w:gridSpan w:val="17"/>
          </w:tcPr>
          <w:p>
            <w:pPr>
              <w:spacing w:line="500" w:lineRule="exact"/>
              <w:rPr>
                <w:rFonts w:eastAsia="宋体"/>
                <w:sz w:val="24"/>
                <w:szCs w:val="24"/>
              </w:rPr>
            </w:pPr>
            <w:r>
              <w:rPr>
                <w:rFonts w:eastAsia="宋体"/>
                <w:sz w:val="24"/>
                <w:szCs w:val="24"/>
              </w:rPr>
              <w:t>放射性同位素和伴有电磁辐射的设施的使用情况：</w:t>
            </w:r>
          </w:p>
          <w:p>
            <w:pPr>
              <w:spacing w:line="500" w:lineRule="exact"/>
              <w:ind w:firstLine="480" w:firstLineChars="200"/>
              <w:rPr>
                <w:rFonts w:eastAsia="宋体"/>
                <w:sz w:val="24"/>
                <w:szCs w:val="24"/>
              </w:rPr>
            </w:pPr>
            <w:r>
              <w:rPr>
                <w:rFonts w:eastAsia="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4" w:hRule="atLeast"/>
          <w:jc w:val="center"/>
        </w:trPr>
        <w:tc>
          <w:tcPr>
            <w:tcW w:w="9287" w:type="dxa"/>
            <w:gridSpan w:val="17"/>
            <w:tcBorders>
              <w:bottom w:val="single" w:color="auto" w:sz="4" w:space="0"/>
            </w:tcBorders>
            <w:vAlign w:val="center"/>
          </w:tcPr>
          <w:p>
            <w:pPr>
              <w:snapToGrid w:val="0"/>
              <w:spacing w:line="500" w:lineRule="exact"/>
              <w:rPr>
                <w:rFonts w:eastAsia="宋体"/>
                <w:b/>
                <w:sz w:val="24"/>
                <w:szCs w:val="24"/>
              </w:rPr>
            </w:pPr>
            <w:r>
              <w:rPr>
                <w:rFonts w:eastAsia="宋体"/>
                <w:b/>
                <w:sz w:val="24"/>
                <w:szCs w:val="24"/>
              </w:rPr>
              <w:t>工程内容及规模：</w:t>
            </w:r>
          </w:p>
          <w:p>
            <w:pPr>
              <w:snapToGrid w:val="0"/>
              <w:spacing w:line="500" w:lineRule="exact"/>
              <w:ind w:firstLine="482" w:firstLineChars="200"/>
              <w:rPr>
                <w:rFonts w:eastAsia="宋体"/>
                <w:b/>
                <w:sz w:val="24"/>
                <w:szCs w:val="24"/>
              </w:rPr>
            </w:pPr>
            <w:r>
              <w:rPr>
                <w:rFonts w:eastAsia="宋体"/>
                <w:b/>
                <w:sz w:val="24"/>
                <w:szCs w:val="24"/>
              </w:rPr>
              <w:t>1、项目由来</w:t>
            </w:r>
          </w:p>
          <w:p>
            <w:pPr>
              <w:snapToGrid w:val="0"/>
              <w:spacing w:line="500" w:lineRule="exact"/>
              <w:ind w:firstLine="480" w:firstLineChars="200"/>
              <w:rPr>
                <w:rFonts w:eastAsia="宋体"/>
                <w:sz w:val="24"/>
                <w:szCs w:val="24"/>
              </w:rPr>
            </w:pPr>
            <w:r>
              <w:rPr>
                <w:rFonts w:eastAsia="宋体"/>
                <w:sz w:val="24"/>
                <w:szCs w:val="24"/>
              </w:rPr>
              <w:t>中国石油天然气股份有限公司江苏宿迁销售分公司投资建设的沭阳台州路加油站项目（运营单位：中国石油天然气股份有限公司江苏宿迁沭阳台州路加油站）位于</w:t>
            </w:r>
            <w:r>
              <w:rPr>
                <w:rFonts w:hint="eastAsia" w:eastAsia="宋体"/>
                <w:sz w:val="24"/>
                <w:szCs w:val="24"/>
              </w:rPr>
              <w:t>宿迁市沭阳县台州路东侧与京沪高速交叉口南侧</w:t>
            </w:r>
            <w:r>
              <w:rPr>
                <w:rFonts w:eastAsia="宋体"/>
                <w:sz w:val="24"/>
                <w:szCs w:val="24"/>
              </w:rPr>
              <w:t>处，主要从事成品油（汽油、柴油）的零售业务，汽油年销售量</w:t>
            </w:r>
            <w:r>
              <w:rPr>
                <w:rFonts w:hint="eastAsia" w:eastAsia="宋体"/>
                <w:sz w:val="24"/>
                <w:szCs w:val="24"/>
              </w:rPr>
              <w:t>10000</w:t>
            </w:r>
            <w:r>
              <w:rPr>
                <w:rFonts w:eastAsia="宋体"/>
                <w:sz w:val="24"/>
                <w:szCs w:val="24"/>
              </w:rPr>
              <w:t>吨，柴油年销售量</w:t>
            </w:r>
            <w:r>
              <w:rPr>
                <w:rFonts w:hint="eastAsia" w:eastAsia="宋体"/>
                <w:sz w:val="24"/>
                <w:szCs w:val="24"/>
              </w:rPr>
              <w:t>1500</w:t>
            </w:r>
            <w:r>
              <w:rPr>
                <w:rFonts w:eastAsia="宋体"/>
                <w:sz w:val="24"/>
                <w:szCs w:val="24"/>
              </w:rPr>
              <w:t>吨。占地面积</w:t>
            </w:r>
            <w:r>
              <w:rPr>
                <w:rFonts w:hint="eastAsia" w:eastAsia="宋体"/>
                <w:sz w:val="24"/>
                <w:szCs w:val="24"/>
              </w:rPr>
              <w:t>2086.6</w:t>
            </w:r>
            <w:r>
              <w:rPr>
                <w:rFonts w:eastAsia="宋体"/>
                <w:sz w:val="24"/>
                <w:szCs w:val="24"/>
              </w:rPr>
              <w:t>m</w:t>
            </w:r>
            <w:r>
              <w:rPr>
                <w:rFonts w:eastAsia="宋体"/>
                <w:sz w:val="24"/>
                <w:szCs w:val="24"/>
                <w:vertAlign w:val="superscript"/>
              </w:rPr>
              <w:t>2</w:t>
            </w:r>
            <w:r>
              <w:rPr>
                <w:rFonts w:eastAsia="宋体"/>
                <w:sz w:val="24"/>
                <w:szCs w:val="24"/>
              </w:rPr>
              <w:t>，于</w:t>
            </w:r>
            <w:r>
              <w:rPr>
                <w:rFonts w:hint="eastAsia" w:eastAsia="宋体"/>
                <w:sz w:val="24"/>
                <w:szCs w:val="24"/>
              </w:rPr>
              <w:t>2011</w:t>
            </w:r>
            <w:r>
              <w:rPr>
                <w:rFonts w:eastAsia="宋体"/>
                <w:sz w:val="24"/>
                <w:szCs w:val="24"/>
              </w:rPr>
              <w:t>年</w:t>
            </w:r>
            <w:r>
              <w:rPr>
                <w:rFonts w:hint="eastAsia" w:eastAsia="宋体"/>
                <w:sz w:val="24"/>
                <w:szCs w:val="24"/>
              </w:rPr>
              <w:t>8</w:t>
            </w:r>
            <w:r>
              <w:rPr>
                <w:rFonts w:eastAsia="宋体"/>
                <w:sz w:val="24"/>
                <w:szCs w:val="24"/>
              </w:rPr>
              <w:t>月建成运营（见成品油零售经营许可证日期），未办理环评手续。</w:t>
            </w:r>
          </w:p>
          <w:p>
            <w:pPr>
              <w:snapToGrid w:val="0"/>
              <w:spacing w:line="500" w:lineRule="exact"/>
              <w:ind w:firstLine="480" w:firstLineChars="200"/>
              <w:rPr>
                <w:rFonts w:eastAsia="宋体"/>
                <w:sz w:val="24"/>
                <w:szCs w:val="24"/>
              </w:rPr>
            </w:pPr>
            <w:r>
              <w:rPr>
                <w:rFonts w:eastAsia="宋体"/>
                <w:sz w:val="24"/>
                <w:szCs w:val="24"/>
              </w:rPr>
              <w:t>根据《关于建设项目“未批先建”违法行为法律适用问题的意见》（环政法函［2018］31号）：“二、关于未批先建违法行为的行政处罚追溯期限（二）追溯期限的起算时间未批先建违法行为自建设行为终了之日起二年内未被发现的，环保部门应当遵守行政处罚法第二十九条的规定，不予行政处罚。” “三、关于建设单位可否主动补交环境影响报告书、报告表报送评审（二）建设单位主动补交环境影响报告书、报告表并报送环保部门审查的，有权审批的环保部门应当受理….未批先建违法行为自建设行为终了之日起二年内未被发现而未予以行政处罚的，建设单位主动补交环境影响报告书、报告表并报送环保部门审查的，有权审批的环保部门应当受理，并根据不同情形分别作出相应处理：1、对符合环境影响评价审批要求的，依法作出批准决定。2、对不符合环境影响评价审批要求的，依法不予批准，并可以依法责令恢复原状。”本项目于20</w:t>
            </w:r>
            <w:r>
              <w:rPr>
                <w:rFonts w:hint="eastAsia" w:eastAsia="宋体"/>
                <w:sz w:val="24"/>
                <w:szCs w:val="24"/>
              </w:rPr>
              <w:t>11</w:t>
            </w:r>
            <w:r>
              <w:rPr>
                <w:rFonts w:eastAsia="宋体"/>
                <w:sz w:val="24"/>
                <w:szCs w:val="24"/>
              </w:rPr>
              <w:t>年</w:t>
            </w:r>
            <w:r>
              <w:rPr>
                <w:rFonts w:hint="eastAsia" w:eastAsia="宋体"/>
                <w:sz w:val="24"/>
                <w:szCs w:val="24"/>
              </w:rPr>
              <w:t>8</w:t>
            </w:r>
            <w:r>
              <w:rPr>
                <w:rFonts w:eastAsia="宋体"/>
                <w:sz w:val="24"/>
                <w:szCs w:val="24"/>
              </w:rPr>
              <w:t>月投入运营，自建设行为终了之日起已超出二年期限。</w:t>
            </w:r>
          </w:p>
          <w:p>
            <w:pPr>
              <w:snapToGrid w:val="0"/>
              <w:spacing w:line="500" w:lineRule="exact"/>
              <w:ind w:firstLine="480" w:firstLineChars="200"/>
              <w:rPr>
                <w:rFonts w:eastAsia="宋体"/>
                <w:sz w:val="24"/>
                <w:szCs w:val="24"/>
              </w:rPr>
            </w:pPr>
            <w:r>
              <w:rPr>
                <w:rFonts w:eastAsia="宋体"/>
                <w:sz w:val="24"/>
                <w:szCs w:val="24"/>
              </w:rPr>
              <w:t>根据《中华人民共和国环境影响评价法》（第77号主席令）、《建设项目环境保护管理条例》（国务院第253号令）等文件规定，该项目须执行环境影响评价审批制度。查《建设项目环境影响评价分类管理名录》（2018年4月28日修订），本项目属于其中“四十、社会事业与服务业——124加油站”，需编制建设项目环境影响报告表。中国石油天然气股份有限公司江苏宿迁销售分公司为完善环保手续，主动依法履行环境影响评价手续，委托江苏润天环境科技有限公司承担该项目环境影响报告表的编制工作，江苏润天环境科技有限公司经过现场勘察及工程分析，依据“环境影响评价技术导则”系列文件和《江苏省建设项目环境影响报告表主要内容编制要求（试行）》的要求，编制了该项目的环境影响评价报告表。</w:t>
            </w:r>
          </w:p>
          <w:p>
            <w:pPr>
              <w:snapToGrid w:val="0"/>
              <w:spacing w:line="500" w:lineRule="exact"/>
              <w:ind w:firstLine="482" w:firstLineChars="200"/>
              <w:rPr>
                <w:rFonts w:eastAsia="宋体"/>
                <w:b/>
                <w:sz w:val="24"/>
                <w:szCs w:val="24"/>
              </w:rPr>
            </w:pPr>
            <w:r>
              <w:rPr>
                <w:rFonts w:eastAsia="宋体"/>
                <w:b/>
                <w:sz w:val="24"/>
                <w:szCs w:val="24"/>
              </w:rPr>
              <w:t>2、项目概况</w:t>
            </w:r>
          </w:p>
          <w:p>
            <w:pPr>
              <w:snapToGrid w:val="0"/>
              <w:spacing w:line="500" w:lineRule="exact"/>
              <w:ind w:firstLine="480" w:firstLineChars="200"/>
              <w:rPr>
                <w:rFonts w:eastAsia="宋体"/>
                <w:sz w:val="24"/>
                <w:szCs w:val="24"/>
              </w:rPr>
            </w:pPr>
            <w:r>
              <w:rPr>
                <w:rFonts w:eastAsia="宋体"/>
                <w:sz w:val="24"/>
                <w:szCs w:val="24"/>
              </w:rPr>
              <w:t>（1）地理位置及周边环境</w:t>
            </w:r>
          </w:p>
          <w:p>
            <w:pPr>
              <w:snapToGrid w:val="0"/>
              <w:spacing w:line="500" w:lineRule="exact"/>
              <w:ind w:firstLine="480" w:firstLineChars="200"/>
              <w:rPr>
                <w:rFonts w:eastAsia="宋体"/>
                <w:sz w:val="24"/>
                <w:szCs w:val="24"/>
              </w:rPr>
            </w:pPr>
            <w:r>
              <w:rPr>
                <w:rFonts w:eastAsia="宋体"/>
                <w:sz w:val="24"/>
                <w:szCs w:val="24"/>
              </w:rPr>
              <w:t>本项目位于</w:t>
            </w:r>
            <w:r>
              <w:rPr>
                <w:rFonts w:hint="eastAsia" w:eastAsia="宋体"/>
                <w:sz w:val="24"/>
                <w:szCs w:val="24"/>
              </w:rPr>
              <w:t>宿迁市沭阳县台州路东侧与京沪高速交叉口南侧</w:t>
            </w:r>
            <w:r>
              <w:rPr>
                <w:rFonts w:eastAsia="宋体"/>
                <w:sz w:val="24"/>
                <w:szCs w:val="24"/>
              </w:rPr>
              <w:t>处，方便过往车辆加油。东侧为空地、西侧为</w:t>
            </w:r>
            <w:r>
              <w:rPr>
                <w:rFonts w:hint="eastAsia" w:eastAsia="宋体"/>
                <w:sz w:val="24"/>
                <w:szCs w:val="24"/>
              </w:rPr>
              <w:t>台州北路，隔路为江苏兄弟活塞有限公司</w:t>
            </w:r>
            <w:r>
              <w:rPr>
                <w:rFonts w:eastAsia="宋体"/>
                <w:sz w:val="24"/>
                <w:szCs w:val="24"/>
              </w:rPr>
              <w:t>、北侧为</w:t>
            </w:r>
            <w:r>
              <w:rPr>
                <w:rFonts w:hint="eastAsia" w:eastAsia="宋体"/>
                <w:sz w:val="24"/>
                <w:szCs w:val="24"/>
              </w:rPr>
              <w:t>京沪高速绿化带</w:t>
            </w:r>
            <w:r>
              <w:rPr>
                <w:rFonts w:eastAsia="宋体"/>
                <w:sz w:val="24"/>
                <w:szCs w:val="24"/>
              </w:rPr>
              <w:t>，</w:t>
            </w:r>
            <w:r>
              <w:rPr>
                <w:rFonts w:hint="eastAsia" w:eastAsia="宋体"/>
                <w:sz w:val="24"/>
                <w:szCs w:val="24"/>
              </w:rPr>
              <w:t>南</w:t>
            </w:r>
            <w:r>
              <w:rPr>
                <w:rFonts w:eastAsia="宋体"/>
                <w:sz w:val="24"/>
                <w:szCs w:val="24"/>
              </w:rPr>
              <w:t>侧是</w:t>
            </w:r>
            <w:r>
              <w:rPr>
                <w:rFonts w:hint="eastAsia" w:eastAsia="宋体"/>
                <w:sz w:val="24"/>
                <w:szCs w:val="24"/>
              </w:rPr>
              <w:t>河道和厂房</w:t>
            </w:r>
            <w:r>
              <w:rPr>
                <w:rFonts w:eastAsia="宋体"/>
                <w:sz w:val="24"/>
                <w:szCs w:val="24"/>
              </w:rPr>
              <w:t>。项目地理位置和项目周边环境现状见附图。</w:t>
            </w:r>
          </w:p>
          <w:p>
            <w:pPr>
              <w:snapToGrid w:val="0"/>
              <w:spacing w:line="500" w:lineRule="exact"/>
              <w:ind w:firstLine="480" w:firstLineChars="200"/>
              <w:rPr>
                <w:rFonts w:eastAsia="宋体"/>
                <w:sz w:val="24"/>
                <w:szCs w:val="24"/>
              </w:rPr>
            </w:pPr>
            <w:r>
              <w:rPr>
                <w:rFonts w:eastAsia="宋体"/>
                <w:sz w:val="24"/>
                <w:szCs w:val="24"/>
              </w:rPr>
              <w:t>（2）建设规模及内容</w:t>
            </w:r>
          </w:p>
          <w:p>
            <w:pPr>
              <w:snapToGrid w:val="0"/>
              <w:spacing w:line="500" w:lineRule="exact"/>
              <w:ind w:firstLine="480" w:firstLineChars="200"/>
              <w:rPr>
                <w:rFonts w:eastAsia="宋体"/>
                <w:sz w:val="24"/>
                <w:szCs w:val="24"/>
              </w:rPr>
            </w:pPr>
            <w:r>
              <w:rPr>
                <w:rFonts w:eastAsia="宋体"/>
                <w:sz w:val="24"/>
                <w:szCs w:val="24"/>
              </w:rPr>
              <w:t>项目由油罐区、附属站房和罩棚组成，总占地面积</w:t>
            </w:r>
            <w:r>
              <w:rPr>
                <w:rFonts w:hint="eastAsia" w:eastAsia="宋体"/>
                <w:sz w:val="24"/>
                <w:szCs w:val="24"/>
              </w:rPr>
              <w:t>2086.6</w:t>
            </w:r>
            <w:r>
              <w:rPr>
                <w:rFonts w:eastAsia="宋体"/>
                <w:sz w:val="24"/>
                <w:szCs w:val="24"/>
              </w:rPr>
              <w:t>m</w:t>
            </w:r>
            <w:r>
              <w:rPr>
                <w:rFonts w:eastAsia="宋体"/>
                <w:sz w:val="24"/>
                <w:szCs w:val="24"/>
                <w:vertAlign w:val="superscript"/>
              </w:rPr>
              <w:t>2</w:t>
            </w:r>
            <w:r>
              <w:rPr>
                <w:rFonts w:eastAsia="宋体"/>
                <w:sz w:val="24"/>
                <w:szCs w:val="24"/>
              </w:rPr>
              <w:t>，站房面积</w:t>
            </w:r>
            <w:r>
              <w:rPr>
                <w:rFonts w:hint="eastAsia" w:eastAsia="宋体"/>
                <w:sz w:val="24"/>
                <w:szCs w:val="24"/>
              </w:rPr>
              <w:t>231.38</w:t>
            </w:r>
            <w:r>
              <w:rPr>
                <w:rFonts w:eastAsia="宋体"/>
                <w:sz w:val="24"/>
                <w:szCs w:val="24"/>
              </w:rPr>
              <w:t>m</w:t>
            </w:r>
            <w:r>
              <w:rPr>
                <w:rFonts w:eastAsia="宋体"/>
                <w:sz w:val="24"/>
                <w:szCs w:val="24"/>
                <w:vertAlign w:val="superscript"/>
              </w:rPr>
              <w:t>2</w:t>
            </w:r>
            <w:r>
              <w:rPr>
                <w:rFonts w:eastAsia="宋体"/>
                <w:sz w:val="24"/>
                <w:szCs w:val="24"/>
              </w:rPr>
              <w:t>，罩棚面积</w:t>
            </w:r>
            <w:r>
              <w:rPr>
                <w:rFonts w:hint="eastAsia" w:eastAsia="宋体"/>
                <w:sz w:val="24"/>
                <w:szCs w:val="24"/>
              </w:rPr>
              <w:t>400</w:t>
            </w:r>
            <w:r>
              <w:rPr>
                <w:rFonts w:eastAsia="宋体"/>
                <w:sz w:val="24"/>
                <w:szCs w:val="24"/>
              </w:rPr>
              <w:t>m</w:t>
            </w:r>
            <w:r>
              <w:rPr>
                <w:rFonts w:eastAsia="宋体"/>
                <w:sz w:val="24"/>
                <w:szCs w:val="24"/>
                <w:vertAlign w:val="superscript"/>
              </w:rPr>
              <w:t>2</w:t>
            </w:r>
            <w:r>
              <w:rPr>
                <w:rFonts w:eastAsia="宋体"/>
                <w:sz w:val="24"/>
                <w:szCs w:val="24"/>
              </w:rPr>
              <w:t>，绿化面积</w:t>
            </w:r>
            <w:r>
              <w:rPr>
                <w:rFonts w:hint="eastAsia" w:eastAsia="宋体"/>
                <w:sz w:val="24"/>
                <w:szCs w:val="24"/>
              </w:rPr>
              <w:t>440</w:t>
            </w:r>
            <w:r>
              <w:rPr>
                <w:rFonts w:eastAsia="宋体"/>
                <w:sz w:val="24"/>
                <w:szCs w:val="24"/>
              </w:rPr>
              <w:t>m</w:t>
            </w:r>
            <w:r>
              <w:rPr>
                <w:rFonts w:eastAsia="宋体"/>
                <w:sz w:val="24"/>
                <w:szCs w:val="24"/>
                <w:vertAlign w:val="superscript"/>
              </w:rPr>
              <w:t>2</w:t>
            </w:r>
            <w:r>
              <w:rPr>
                <w:rFonts w:eastAsia="宋体"/>
                <w:sz w:val="24"/>
                <w:szCs w:val="24"/>
              </w:rPr>
              <w:t>，绿化率为</w:t>
            </w:r>
            <w:r>
              <w:rPr>
                <w:rFonts w:hint="eastAsia" w:eastAsia="宋体"/>
                <w:sz w:val="24"/>
                <w:szCs w:val="24"/>
              </w:rPr>
              <w:t>21</w:t>
            </w:r>
            <w:r>
              <w:rPr>
                <w:rFonts w:eastAsia="宋体"/>
                <w:sz w:val="24"/>
                <w:szCs w:val="24"/>
              </w:rPr>
              <w:t>%。项目主要经营销售汽油、柴油，年销售成品油约为</w:t>
            </w:r>
            <w:r>
              <w:rPr>
                <w:rFonts w:hint="eastAsia" w:eastAsia="宋体"/>
                <w:sz w:val="24"/>
                <w:szCs w:val="24"/>
              </w:rPr>
              <w:t>11500</w:t>
            </w:r>
            <w:r>
              <w:rPr>
                <w:rFonts w:eastAsia="宋体"/>
                <w:sz w:val="24"/>
                <w:szCs w:val="24"/>
              </w:rPr>
              <w:t>t，其中汽油</w:t>
            </w:r>
            <w:r>
              <w:rPr>
                <w:rFonts w:hint="eastAsia" w:eastAsia="宋体"/>
                <w:sz w:val="24"/>
                <w:szCs w:val="24"/>
              </w:rPr>
              <w:t>10000</w:t>
            </w:r>
            <w:r>
              <w:rPr>
                <w:rFonts w:eastAsia="宋体"/>
                <w:sz w:val="24"/>
                <w:szCs w:val="24"/>
              </w:rPr>
              <w:t>t、柴油</w:t>
            </w:r>
            <w:r>
              <w:rPr>
                <w:rFonts w:hint="eastAsia" w:eastAsia="宋体"/>
                <w:sz w:val="24"/>
                <w:szCs w:val="24"/>
              </w:rPr>
              <w:t>1500</w:t>
            </w:r>
            <w:r>
              <w:rPr>
                <w:rFonts w:eastAsia="宋体"/>
                <w:sz w:val="24"/>
                <w:szCs w:val="24"/>
              </w:rPr>
              <w:t>t。</w:t>
            </w:r>
          </w:p>
          <w:p>
            <w:pPr>
              <w:snapToGrid w:val="0"/>
              <w:spacing w:line="500" w:lineRule="exact"/>
              <w:ind w:firstLine="480" w:firstLineChars="200"/>
              <w:rPr>
                <w:rFonts w:eastAsia="宋体"/>
                <w:sz w:val="24"/>
                <w:szCs w:val="24"/>
              </w:rPr>
            </w:pPr>
            <w:r>
              <w:rPr>
                <w:rFonts w:eastAsia="宋体"/>
                <w:sz w:val="24"/>
                <w:szCs w:val="24"/>
              </w:rPr>
              <w:t>本站设30m</w:t>
            </w:r>
            <w:r>
              <w:rPr>
                <w:rFonts w:eastAsia="宋体"/>
                <w:sz w:val="24"/>
                <w:szCs w:val="24"/>
                <w:vertAlign w:val="superscript"/>
              </w:rPr>
              <w:t>3</w:t>
            </w:r>
            <w:r>
              <w:rPr>
                <w:rFonts w:eastAsia="宋体"/>
                <w:sz w:val="24"/>
                <w:szCs w:val="24"/>
              </w:rPr>
              <w:t>埋地储油罐</w:t>
            </w:r>
            <w:r>
              <w:rPr>
                <w:rFonts w:hint="eastAsia" w:eastAsia="宋体"/>
                <w:sz w:val="24"/>
                <w:szCs w:val="24"/>
              </w:rPr>
              <w:t>5</w:t>
            </w:r>
            <w:r>
              <w:rPr>
                <w:rFonts w:eastAsia="宋体"/>
                <w:sz w:val="24"/>
                <w:szCs w:val="24"/>
              </w:rPr>
              <w:t>个，其中</w:t>
            </w:r>
            <w:r>
              <w:rPr>
                <w:rFonts w:hint="eastAsia" w:eastAsia="宋体"/>
                <w:sz w:val="24"/>
                <w:szCs w:val="24"/>
              </w:rPr>
              <w:t>4</w:t>
            </w:r>
            <w:r>
              <w:rPr>
                <w:rFonts w:eastAsia="宋体"/>
                <w:sz w:val="24"/>
                <w:szCs w:val="24"/>
              </w:rPr>
              <w:t>个为汽油罐，</w:t>
            </w:r>
            <w:r>
              <w:rPr>
                <w:rFonts w:hint="eastAsia" w:eastAsia="宋体"/>
                <w:sz w:val="24"/>
                <w:szCs w:val="24"/>
              </w:rPr>
              <w:t>1</w:t>
            </w:r>
            <w:r>
              <w:rPr>
                <w:rFonts w:eastAsia="宋体"/>
                <w:sz w:val="24"/>
                <w:szCs w:val="24"/>
              </w:rPr>
              <w:t>个为柴油罐，总罐容</w:t>
            </w:r>
            <w:r>
              <w:rPr>
                <w:rFonts w:hint="eastAsia" w:eastAsia="宋体"/>
                <w:sz w:val="24"/>
                <w:szCs w:val="24"/>
              </w:rPr>
              <w:t>150</w:t>
            </w:r>
            <w:r>
              <w:rPr>
                <w:rFonts w:eastAsia="宋体"/>
                <w:sz w:val="24"/>
                <w:szCs w:val="24"/>
              </w:rPr>
              <w:t>m</w:t>
            </w:r>
            <w:r>
              <w:rPr>
                <w:rFonts w:eastAsia="宋体"/>
                <w:sz w:val="24"/>
                <w:szCs w:val="24"/>
                <w:vertAlign w:val="superscript"/>
              </w:rPr>
              <w:t>3</w:t>
            </w:r>
            <w:r>
              <w:rPr>
                <w:rFonts w:eastAsia="宋体"/>
                <w:sz w:val="24"/>
                <w:szCs w:val="24"/>
              </w:rPr>
              <w:t>，折合汽油总罐容</w:t>
            </w:r>
            <w:r>
              <w:rPr>
                <w:rFonts w:hint="eastAsia" w:eastAsia="宋体"/>
                <w:sz w:val="24"/>
                <w:szCs w:val="24"/>
              </w:rPr>
              <w:t>135</w:t>
            </w:r>
            <w:r>
              <w:rPr>
                <w:rFonts w:eastAsia="宋体"/>
                <w:sz w:val="24"/>
                <w:szCs w:val="24"/>
              </w:rPr>
              <w:t>m</w:t>
            </w:r>
            <w:r>
              <w:rPr>
                <w:rFonts w:eastAsia="宋体"/>
                <w:sz w:val="24"/>
                <w:szCs w:val="24"/>
                <w:vertAlign w:val="superscript"/>
              </w:rPr>
              <w:t>3</w:t>
            </w:r>
            <w:r>
              <w:rPr>
                <w:rFonts w:eastAsia="宋体"/>
                <w:sz w:val="24"/>
                <w:szCs w:val="24"/>
              </w:rPr>
              <w:t>（柴油罐容量折半计算）。依据《汽车加油加气站设计与施工规范》（GB50156-2012，2014年修订版），本站为</w:t>
            </w:r>
            <w:r>
              <w:rPr>
                <w:rFonts w:hint="eastAsia" w:eastAsia="宋体"/>
                <w:sz w:val="24"/>
                <w:szCs w:val="24"/>
              </w:rPr>
              <w:t>二</w:t>
            </w:r>
            <w:r>
              <w:rPr>
                <w:rFonts w:eastAsia="宋体"/>
                <w:sz w:val="24"/>
                <w:szCs w:val="24"/>
              </w:rPr>
              <w:t>级加油站。</w:t>
            </w:r>
          </w:p>
          <w:p>
            <w:pPr>
              <w:snapToGrid w:val="0"/>
              <w:spacing w:line="500" w:lineRule="exact"/>
              <w:ind w:firstLine="480" w:firstLineChars="200"/>
              <w:rPr>
                <w:rFonts w:eastAsia="宋体"/>
                <w:sz w:val="24"/>
                <w:szCs w:val="24"/>
              </w:rPr>
            </w:pPr>
            <w:r>
              <w:rPr>
                <w:rFonts w:eastAsia="宋体"/>
                <w:sz w:val="24"/>
                <w:szCs w:val="24"/>
              </w:rPr>
              <w:t>加油站等级划分见表1-1。</w:t>
            </w:r>
          </w:p>
          <w:p>
            <w:pPr>
              <w:snapToGrid w:val="0"/>
              <w:spacing w:line="500" w:lineRule="exact"/>
              <w:ind w:firstLine="482" w:firstLineChars="200"/>
              <w:jc w:val="center"/>
              <w:rPr>
                <w:rFonts w:eastAsia="宋体"/>
                <w:b/>
                <w:sz w:val="24"/>
                <w:szCs w:val="24"/>
              </w:rPr>
            </w:pPr>
            <w:r>
              <w:rPr>
                <w:rFonts w:eastAsia="宋体"/>
                <w:b/>
                <w:sz w:val="24"/>
                <w:szCs w:val="24"/>
              </w:rPr>
              <w:t>表1-1加油站的等级划分</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3470"/>
              <w:gridCol w:w="43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级别</w:t>
                  </w:r>
                </w:p>
              </w:tc>
              <w:tc>
                <w:tcPr>
                  <w:tcW w:w="781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油罐容积（m</w:t>
                  </w:r>
                  <w:r>
                    <w:rPr>
                      <w:rFonts w:eastAsia="宋体"/>
                      <w:sz w:val="21"/>
                      <w:szCs w:val="21"/>
                      <w:vertAlign w:val="superscript"/>
                    </w:rPr>
                    <w:t>3</w:t>
                  </w: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总容积</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单罐容积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150＜V≤210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二级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90＜V≤150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三级</w:t>
                  </w:r>
                </w:p>
              </w:tc>
              <w:tc>
                <w:tcPr>
                  <w:tcW w:w="34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V≤90</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汽油罐V≤30，柴油罐V≤50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w:t>
                  </w:r>
                </w:p>
              </w:tc>
              <w:tc>
                <w:tcPr>
                  <w:tcW w:w="3470" w:type="dxa"/>
                  <w:vAlign w:val="center"/>
                </w:tcPr>
                <w:p>
                  <w:pPr>
                    <w:widowControl w:val="0"/>
                    <w:tabs>
                      <w:tab w:val="center" w:pos="4153"/>
                      <w:tab w:val="right" w:pos="8306"/>
                    </w:tabs>
                    <w:snapToGrid w:val="0"/>
                    <w:spacing w:line="240" w:lineRule="auto"/>
                    <w:jc w:val="center"/>
                    <w:rPr>
                      <w:rFonts w:hint="default" w:eastAsia="宋体"/>
                      <w:sz w:val="21"/>
                      <w:szCs w:val="21"/>
                      <w:lang w:val="en-US"/>
                    </w:rPr>
                  </w:pPr>
                  <w:r>
                    <w:rPr>
                      <w:rFonts w:eastAsia="宋体"/>
                      <w:sz w:val="21"/>
                      <w:szCs w:val="21"/>
                    </w:rPr>
                    <w:t>V=</w:t>
                  </w:r>
                  <w:r>
                    <w:rPr>
                      <w:rFonts w:hint="eastAsia" w:eastAsia="宋体"/>
                      <w:sz w:val="21"/>
                      <w:szCs w:val="21"/>
                      <w:lang w:val="en-US" w:eastAsia="zh-CN"/>
                    </w:rPr>
                    <w:t>135</w:t>
                  </w:r>
                </w:p>
              </w:tc>
              <w:tc>
                <w:tcPr>
                  <w:tcW w:w="43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汽油罐V=30，柴油罐V=30</w:t>
                  </w:r>
                </w:p>
              </w:tc>
            </w:tr>
          </w:tbl>
          <w:p>
            <w:pPr>
              <w:pStyle w:val="103"/>
              <w:adjustRightInd w:val="0"/>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注：①柴油罐容积可折半计入油罐总容积。</w:t>
            </w:r>
          </w:p>
          <w:p>
            <w:pPr>
              <w:snapToGrid w:val="0"/>
              <w:spacing w:line="500" w:lineRule="exact"/>
              <w:ind w:firstLine="480" w:firstLineChars="200"/>
              <w:rPr>
                <w:rFonts w:eastAsia="宋体"/>
                <w:sz w:val="24"/>
                <w:szCs w:val="24"/>
              </w:rPr>
            </w:pPr>
            <w:r>
              <w:rPr>
                <w:rFonts w:eastAsia="宋体"/>
                <w:sz w:val="24"/>
                <w:szCs w:val="24"/>
              </w:rPr>
              <w:t>项目工程组成有主体工程、辅助工程、环保工程和公用工程等，本项目工程组成见表1-2。</w:t>
            </w:r>
          </w:p>
          <w:p>
            <w:pPr>
              <w:snapToGrid w:val="0"/>
              <w:spacing w:line="500" w:lineRule="exact"/>
              <w:ind w:firstLine="482" w:firstLineChars="200"/>
              <w:jc w:val="center"/>
              <w:rPr>
                <w:rFonts w:eastAsia="宋体"/>
                <w:b/>
                <w:bCs/>
                <w:sz w:val="24"/>
                <w:szCs w:val="24"/>
              </w:rPr>
            </w:pPr>
            <w:r>
              <w:rPr>
                <w:rFonts w:eastAsia="宋体"/>
                <w:b/>
                <w:sz w:val="24"/>
                <w:szCs w:val="24"/>
              </w:rPr>
              <w:t>表1-2项目工程组成一览表</w:t>
            </w:r>
          </w:p>
          <w:tbl>
            <w:tblPr>
              <w:tblStyle w:val="28"/>
              <w:tblW w:w="91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41"/>
              <w:gridCol w:w="1718"/>
              <w:gridCol w:w="4261"/>
              <w:gridCol w:w="8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类别</w:t>
                  </w:r>
                </w:p>
              </w:tc>
              <w:tc>
                <w:tcPr>
                  <w:tcW w:w="1441"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项目</w:t>
                  </w:r>
                </w:p>
              </w:tc>
              <w:tc>
                <w:tcPr>
                  <w:tcW w:w="5979" w:type="dxa"/>
                  <w:gridSpan w:val="2"/>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主要设施及工程特征</w:t>
                  </w:r>
                </w:p>
              </w:tc>
              <w:tc>
                <w:tcPr>
                  <w:tcW w:w="859" w:type="dxa"/>
                  <w:vAlign w:val="center"/>
                </w:tcPr>
                <w:p>
                  <w:pPr>
                    <w:widowControl w:val="0"/>
                    <w:adjustRightInd w:val="0"/>
                    <w:snapToGrid w:val="0"/>
                    <w:spacing w:line="240" w:lineRule="auto"/>
                    <w:jc w:val="center"/>
                    <w:rPr>
                      <w:rFonts w:eastAsia="宋体"/>
                      <w:b/>
                      <w:spacing w:val="4"/>
                      <w:sz w:val="21"/>
                      <w:szCs w:val="21"/>
                    </w:rPr>
                  </w:pPr>
                  <w:r>
                    <w:rPr>
                      <w:rFonts w:eastAsia="宋体"/>
                      <w:b/>
                      <w:spacing w:val="4"/>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主体</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站房</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二层砖混结构，建筑面积为</w:t>
                  </w:r>
                  <w:r>
                    <w:rPr>
                      <w:rFonts w:hint="eastAsia" w:eastAsia="宋体"/>
                      <w:spacing w:val="4"/>
                      <w:sz w:val="21"/>
                      <w:szCs w:val="21"/>
                    </w:rPr>
                    <w:t>231.38</w:t>
                  </w:r>
                  <w:r>
                    <w:rPr>
                      <w:rFonts w:eastAsia="宋体"/>
                      <w:spacing w:val="4"/>
                      <w:sz w:val="21"/>
                      <w:szCs w:val="21"/>
                    </w:rPr>
                    <w:t>m</w:t>
                  </w:r>
                  <w:r>
                    <w:rPr>
                      <w:rFonts w:eastAsia="宋体"/>
                      <w:spacing w:val="4"/>
                      <w:sz w:val="21"/>
                      <w:szCs w:val="21"/>
                      <w:vertAlign w:val="superscript"/>
                    </w:rPr>
                    <w:t>2</w:t>
                  </w:r>
                  <w:r>
                    <w:rPr>
                      <w:rFonts w:eastAsia="宋体"/>
                      <w:spacing w:val="4"/>
                      <w:sz w:val="21"/>
                      <w:szCs w:val="21"/>
                    </w:rPr>
                    <w:t>，包含办公区、便利店及职工休息室、仓库</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加油罩棚</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为轻钢结构，建筑面积为</w:t>
                  </w:r>
                  <w:r>
                    <w:rPr>
                      <w:rFonts w:hint="eastAsia" w:eastAsia="宋体"/>
                      <w:spacing w:val="4"/>
                      <w:sz w:val="21"/>
                      <w:szCs w:val="21"/>
                    </w:rPr>
                    <w:t>400</w:t>
                  </w:r>
                  <w:r>
                    <w:rPr>
                      <w:rFonts w:eastAsia="宋体"/>
                      <w:spacing w:val="4"/>
                      <w:sz w:val="21"/>
                      <w:szCs w:val="21"/>
                    </w:rPr>
                    <w:t>m</w:t>
                  </w:r>
                  <w:r>
                    <w:rPr>
                      <w:rFonts w:eastAsia="宋体"/>
                      <w:spacing w:val="4"/>
                      <w:sz w:val="21"/>
                      <w:szCs w:val="21"/>
                      <w:vertAlign w:val="superscript"/>
                    </w:rPr>
                    <w:t>2</w:t>
                  </w:r>
                  <w:r>
                    <w:rPr>
                      <w:rFonts w:eastAsia="宋体"/>
                      <w:spacing w:val="4"/>
                      <w:sz w:val="21"/>
                      <w:szCs w:val="21"/>
                    </w:rPr>
                    <w:t>，高度6m。包含4台加油机</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z w:val="21"/>
                      <w:szCs w:val="21"/>
                    </w:rPr>
                    <w:t>储油区</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油罐采用卧式双层油罐埋地设置，共</w:t>
                  </w:r>
                  <w:r>
                    <w:rPr>
                      <w:rFonts w:hint="eastAsia" w:eastAsia="宋体"/>
                      <w:spacing w:val="4"/>
                      <w:sz w:val="21"/>
                      <w:szCs w:val="21"/>
                    </w:rPr>
                    <w:t>5</w:t>
                  </w:r>
                  <w:r>
                    <w:rPr>
                      <w:rFonts w:eastAsia="宋体"/>
                      <w:spacing w:val="4"/>
                      <w:sz w:val="21"/>
                      <w:szCs w:val="21"/>
                    </w:rPr>
                    <w:t>个储油罐（</w:t>
                  </w:r>
                  <w:r>
                    <w:rPr>
                      <w:rFonts w:hint="eastAsia" w:eastAsia="宋体"/>
                      <w:spacing w:val="4"/>
                      <w:sz w:val="21"/>
                      <w:szCs w:val="21"/>
                    </w:rPr>
                    <w:t>4</w:t>
                  </w:r>
                  <w:r>
                    <w:rPr>
                      <w:rFonts w:eastAsia="宋体"/>
                      <w:spacing w:val="4"/>
                      <w:sz w:val="21"/>
                      <w:szCs w:val="21"/>
                    </w:rPr>
                    <w:t>×30m³汽油储罐、</w:t>
                  </w:r>
                  <w:r>
                    <w:rPr>
                      <w:rFonts w:hint="eastAsia" w:eastAsia="宋体"/>
                      <w:spacing w:val="4"/>
                      <w:sz w:val="21"/>
                      <w:szCs w:val="21"/>
                    </w:rPr>
                    <w:t>1</w:t>
                  </w:r>
                  <w:r>
                    <w:rPr>
                      <w:rFonts w:eastAsia="宋体"/>
                      <w:spacing w:val="4"/>
                      <w:sz w:val="21"/>
                      <w:szCs w:val="21"/>
                    </w:rPr>
                    <w:t>×30m³柴油储罐）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公用</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给水</w:t>
                  </w:r>
                </w:p>
              </w:tc>
              <w:tc>
                <w:tcPr>
                  <w:tcW w:w="5979"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eastAsia="宋体"/>
                      <w:snapToGrid w:val="0"/>
                      <w:sz w:val="21"/>
                      <w:szCs w:val="21"/>
                    </w:rPr>
                    <w:t>供水</w:t>
                  </w:r>
                  <w:r>
                    <w:rPr>
                      <w:rFonts w:eastAsia="宋体"/>
                      <w:spacing w:val="4"/>
                      <w:sz w:val="21"/>
                      <w:szCs w:val="21"/>
                    </w:rPr>
                    <w:t>由区域管网供给，</w:t>
                  </w:r>
                  <w:r>
                    <w:rPr>
                      <w:rFonts w:eastAsia="宋体"/>
                      <w:bCs/>
                      <w:spacing w:val="-8"/>
                      <w:sz w:val="21"/>
                      <w:szCs w:val="21"/>
                    </w:rPr>
                    <w:t>总用水量约</w:t>
                  </w:r>
                  <w:r>
                    <w:rPr>
                      <w:rFonts w:hint="eastAsia" w:eastAsia="宋体"/>
                      <w:bCs/>
                      <w:spacing w:val="-8"/>
                      <w:sz w:val="21"/>
                      <w:szCs w:val="21"/>
                    </w:rPr>
                    <w:t>803</w:t>
                  </w:r>
                  <w:r>
                    <w:rPr>
                      <w:rFonts w:eastAsia="宋体"/>
                      <w:bCs/>
                      <w:spacing w:val="-8"/>
                      <w:sz w:val="21"/>
                      <w:szCs w:val="21"/>
                    </w:rPr>
                    <w:t>m</w:t>
                  </w:r>
                  <w:r>
                    <w:rPr>
                      <w:rFonts w:eastAsia="宋体"/>
                      <w:bCs/>
                      <w:spacing w:val="-8"/>
                      <w:sz w:val="21"/>
                      <w:szCs w:val="21"/>
                      <w:vertAlign w:val="superscript"/>
                    </w:rPr>
                    <w:t>3</w:t>
                  </w:r>
                  <w:r>
                    <w:rPr>
                      <w:rFonts w:eastAsia="宋体"/>
                      <w:bCs/>
                      <w:spacing w:val="-8"/>
                      <w:sz w:val="21"/>
                      <w:szCs w:val="21"/>
                    </w:rPr>
                    <w:t>/a</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排水</w:t>
                  </w:r>
                </w:p>
              </w:tc>
              <w:tc>
                <w:tcPr>
                  <w:tcW w:w="5979" w:type="dxa"/>
                  <w:gridSpan w:val="2"/>
                  <w:vAlign w:val="center"/>
                </w:tcPr>
                <w:p>
                  <w:pPr>
                    <w:widowControl w:val="0"/>
                    <w:adjustRightInd w:val="0"/>
                    <w:snapToGrid w:val="0"/>
                    <w:spacing w:line="240" w:lineRule="auto"/>
                    <w:jc w:val="center"/>
                    <w:rPr>
                      <w:rFonts w:eastAsia="宋体"/>
                      <w:spacing w:val="4"/>
                      <w:sz w:val="21"/>
                      <w:szCs w:val="21"/>
                      <w:highlight w:val="yellow"/>
                    </w:rPr>
                  </w:pPr>
                  <w:r>
                    <w:rPr>
                      <w:rFonts w:eastAsia="宋体"/>
                      <w:bCs/>
                      <w:sz w:val="21"/>
                      <w:szCs w:val="21"/>
                    </w:rPr>
                    <w:t>雨污分流；生</w:t>
                  </w:r>
                  <w:r>
                    <w:rPr>
                      <w:rFonts w:eastAsia="宋体"/>
                      <w:bCs/>
                      <w:color w:val="000000"/>
                      <w:sz w:val="21"/>
                      <w:szCs w:val="21"/>
                    </w:rPr>
                    <w:t>活污水经化粪池处理后，经市政污水管网接入</w:t>
                  </w:r>
                  <w:r>
                    <w:rPr>
                      <w:rFonts w:hint="eastAsia" w:eastAsia="宋体"/>
                      <w:bCs/>
                      <w:color w:val="000000"/>
                      <w:sz w:val="21"/>
                      <w:szCs w:val="21"/>
                    </w:rPr>
                    <w:t>沭阳县城东污水处理厂</w:t>
                  </w:r>
                  <w:r>
                    <w:rPr>
                      <w:rFonts w:eastAsia="宋体"/>
                      <w:bCs/>
                      <w:color w:val="000000"/>
                      <w:sz w:val="21"/>
                      <w:szCs w:val="21"/>
                    </w:rPr>
                    <w:t>；雨水经有组织收集后排入市政雨水管网</w:t>
                  </w:r>
                </w:p>
              </w:tc>
              <w:tc>
                <w:tcPr>
                  <w:tcW w:w="859" w:type="dxa"/>
                  <w:vAlign w:val="center"/>
                </w:tcPr>
                <w:p>
                  <w:pPr>
                    <w:widowControl w:val="0"/>
                    <w:adjustRightInd w:val="0"/>
                    <w:snapToGrid w:val="0"/>
                    <w:spacing w:line="240" w:lineRule="auto"/>
                    <w:jc w:val="center"/>
                    <w:rPr>
                      <w:rFonts w:eastAsia="宋体"/>
                      <w:spacing w:val="4"/>
                      <w:sz w:val="21"/>
                      <w:szCs w:val="21"/>
                      <w:highlight w:val="yellow"/>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供电</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napToGrid w:val="0"/>
                      <w:sz w:val="21"/>
                      <w:szCs w:val="21"/>
                    </w:rPr>
                    <w:t>6万度/年；由市政供电所供给</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供暖</w:t>
                  </w:r>
                </w:p>
              </w:tc>
              <w:tc>
                <w:tcPr>
                  <w:tcW w:w="5979" w:type="dxa"/>
                  <w:gridSpan w:val="2"/>
                  <w:vAlign w:val="center"/>
                </w:tcPr>
                <w:p>
                  <w:pPr>
                    <w:widowControl w:val="0"/>
                    <w:adjustRightInd w:val="0"/>
                    <w:snapToGrid w:val="0"/>
                    <w:spacing w:line="240" w:lineRule="auto"/>
                    <w:jc w:val="center"/>
                    <w:rPr>
                      <w:rFonts w:eastAsia="宋体"/>
                      <w:snapToGrid w:val="0"/>
                      <w:sz w:val="21"/>
                      <w:szCs w:val="21"/>
                    </w:rPr>
                  </w:pPr>
                  <w:r>
                    <w:rPr>
                      <w:rFonts w:eastAsia="宋体"/>
                      <w:snapToGrid w:val="0"/>
                      <w:sz w:val="21"/>
                      <w:szCs w:val="21"/>
                    </w:rPr>
                    <w:t>采用空调供热</w:t>
                  </w:r>
                </w:p>
              </w:tc>
              <w:tc>
                <w:tcPr>
                  <w:tcW w:w="859" w:type="dxa"/>
                  <w:vAlign w:val="center"/>
                </w:tcPr>
                <w:p>
                  <w:pPr>
                    <w:widowControl w:val="0"/>
                    <w:adjustRightInd w:val="0"/>
                    <w:snapToGrid w:val="0"/>
                    <w:spacing w:line="240" w:lineRule="auto"/>
                    <w:jc w:val="center"/>
                    <w:rPr>
                      <w:rFonts w:eastAsia="宋体"/>
                      <w:snapToGrid w:val="0"/>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通信</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通信线路引自附近通信网络</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restart"/>
                  <w:vAlign w:val="center"/>
                </w:tcPr>
                <w:p>
                  <w:pPr>
                    <w:widowControl w:val="0"/>
                    <w:adjustRightInd w:val="0"/>
                    <w:snapToGrid w:val="0"/>
                    <w:spacing w:line="240" w:lineRule="auto"/>
                    <w:jc w:val="center"/>
                    <w:rPr>
                      <w:rFonts w:eastAsia="宋体"/>
                      <w:b/>
                      <w:spacing w:val="-6"/>
                      <w:sz w:val="21"/>
                      <w:szCs w:val="21"/>
                    </w:rPr>
                  </w:pPr>
                  <w:r>
                    <w:rPr>
                      <w:rFonts w:eastAsia="宋体"/>
                      <w:b/>
                      <w:spacing w:val="-6"/>
                      <w:sz w:val="21"/>
                      <w:szCs w:val="21"/>
                    </w:rPr>
                    <w:t>环保</w:t>
                  </w:r>
                </w:p>
                <w:p>
                  <w:pPr>
                    <w:widowControl w:val="0"/>
                    <w:adjustRightInd w:val="0"/>
                    <w:snapToGrid w:val="0"/>
                    <w:spacing w:line="240" w:lineRule="auto"/>
                    <w:jc w:val="center"/>
                    <w:rPr>
                      <w:rFonts w:eastAsia="宋体"/>
                      <w:b/>
                      <w:spacing w:val="-6"/>
                      <w:sz w:val="21"/>
                      <w:szCs w:val="21"/>
                    </w:rPr>
                  </w:pPr>
                  <w:r>
                    <w:rPr>
                      <w:rFonts w:eastAsia="宋体"/>
                      <w:b/>
                      <w:spacing w:val="-6"/>
                      <w:sz w:val="21"/>
                      <w:szCs w:val="21"/>
                    </w:rPr>
                    <w:t>工程</w:t>
                  </w: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噪声</w:t>
                  </w:r>
                </w:p>
              </w:tc>
              <w:tc>
                <w:tcPr>
                  <w:tcW w:w="5979" w:type="dxa"/>
                  <w:gridSpan w:val="2"/>
                  <w:vAlign w:val="center"/>
                </w:tcPr>
                <w:p>
                  <w:pPr>
                    <w:widowControl w:val="0"/>
                    <w:adjustRightInd w:val="0"/>
                    <w:snapToGrid w:val="0"/>
                    <w:spacing w:line="240" w:lineRule="auto"/>
                    <w:jc w:val="center"/>
                    <w:rPr>
                      <w:rFonts w:eastAsia="宋体"/>
                      <w:sz w:val="21"/>
                      <w:szCs w:val="21"/>
                    </w:rPr>
                  </w:pPr>
                  <w:r>
                    <w:rPr>
                      <w:rFonts w:eastAsia="宋体"/>
                      <w:sz w:val="21"/>
                      <w:szCs w:val="21"/>
                    </w:rPr>
                    <w:t>注油采用封闭式操作、噪声设备采用隔音、减震等措施，并在进出入口设置禁鸣标志及减速带</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废气</w:t>
                  </w:r>
                </w:p>
              </w:tc>
              <w:tc>
                <w:tcPr>
                  <w:tcW w:w="1718" w:type="dxa"/>
                  <w:vAlign w:val="center"/>
                </w:tcPr>
                <w:p>
                  <w:pPr>
                    <w:widowControl w:val="0"/>
                    <w:adjustRightInd w:val="0"/>
                    <w:snapToGrid w:val="0"/>
                    <w:spacing w:line="240" w:lineRule="auto"/>
                    <w:jc w:val="center"/>
                    <w:rPr>
                      <w:rFonts w:eastAsia="宋体"/>
                      <w:sz w:val="21"/>
                      <w:szCs w:val="21"/>
                    </w:rPr>
                  </w:pPr>
                  <w:r>
                    <w:rPr>
                      <w:rFonts w:eastAsia="宋体"/>
                      <w:sz w:val="21"/>
                      <w:szCs w:val="21"/>
                    </w:rPr>
                    <w:t>卸油、加油</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sz w:val="21"/>
                      <w:szCs w:val="21"/>
                    </w:rPr>
                    <w:t>设油气回收系统</w:t>
                  </w:r>
                  <w:r>
                    <w:rPr>
                      <w:rFonts w:hint="eastAsia" w:eastAsia="宋体"/>
                      <w:sz w:val="21"/>
                      <w:szCs w:val="21"/>
                    </w:rPr>
                    <w:t>2</w:t>
                  </w:r>
                  <w:r>
                    <w:rPr>
                      <w:rFonts w:eastAsia="宋体"/>
                      <w:sz w:val="21"/>
                      <w:szCs w:val="21"/>
                    </w:rPr>
                    <w:t>套（卸油油气回收系统1套和加油油气回收系统</w:t>
                  </w:r>
                  <w:r>
                    <w:rPr>
                      <w:rFonts w:hint="eastAsia" w:eastAsia="宋体"/>
                      <w:sz w:val="21"/>
                      <w:szCs w:val="21"/>
                    </w:rPr>
                    <w:t>1</w:t>
                  </w:r>
                  <w:r>
                    <w:rPr>
                      <w:rFonts w:eastAsia="宋体"/>
                      <w:sz w:val="21"/>
                      <w:szCs w:val="21"/>
                    </w:rPr>
                    <w:t>套）</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Merge w:val="continue"/>
                  <w:vAlign w:val="center"/>
                </w:tcPr>
                <w:p>
                  <w:pPr>
                    <w:widowControl w:val="0"/>
                    <w:adjustRightInd w:val="0"/>
                    <w:snapToGrid w:val="0"/>
                    <w:spacing w:line="240" w:lineRule="auto"/>
                    <w:jc w:val="center"/>
                    <w:rPr>
                      <w:rFonts w:eastAsia="宋体"/>
                      <w:spacing w:val="-6"/>
                      <w:sz w:val="21"/>
                      <w:szCs w:val="21"/>
                    </w:rPr>
                  </w:pPr>
                </w:p>
              </w:tc>
              <w:tc>
                <w:tcPr>
                  <w:tcW w:w="1718" w:type="dxa"/>
                  <w:vAlign w:val="center"/>
                </w:tcPr>
                <w:p>
                  <w:pPr>
                    <w:widowControl w:val="0"/>
                    <w:adjustRightInd w:val="0"/>
                    <w:snapToGrid w:val="0"/>
                    <w:spacing w:line="240" w:lineRule="auto"/>
                    <w:jc w:val="center"/>
                    <w:rPr>
                      <w:rFonts w:eastAsia="宋体"/>
                      <w:sz w:val="21"/>
                      <w:szCs w:val="21"/>
                    </w:rPr>
                  </w:pPr>
                  <w:r>
                    <w:rPr>
                      <w:rFonts w:eastAsia="宋体"/>
                      <w:sz w:val="21"/>
                      <w:szCs w:val="21"/>
                    </w:rPr>
                    <w:t>汽车尾气</w:t>
                  </w:r>
                </w:p>
              </w:tc>
              <w:tc>
                <w:tcPr>
                  <w:tcW w:w="4261" w:type="dxa"/>
                  <w:vAlign w:val="center"/>
                </w:tcPr>
                <w:p>
                  <w:pPr>
                    <w:widowControl w:val="0"/>
                    <w:adjustRightInd w:val="0"/>
                    <w:snapToGrid w:val="0"/>
                    <w:spacing w:line="240" w:lineRule="auto"/>
                    <w:jc w:val="center"/>
                    <w:rPr>
                      <w:rFonts w:eastAsia="宋体"/>
                      <w:sz w:val="21"/>
                      <w:szCs w:val="21"/>
                    </w:rPr>
                  </w:pPr>
                  <w:r>
                    <w:rPr>
                      <w:rFonts w:eastAsia="宋体"/>
                      <w:bCs/>
                      <w:sz w:val="21"/>
                      <w:szCs w:val="21"/>
                    </w:rPr>
                    <w:t>自然扩散</w:t>
                  </w:r>
                </w:p>
              </w:tc>
              <w:tc>
                <w:tcPr>
                  <w:tcW w:w="859" w:type="dxa"/>
                  <w:vAlign w:val="center"/>
                </w:tcPr>
                <w:p>
                  <w:pPr>
                    <w:widowControl w:val="0"/>
                    <w:adjustRightInd w:val="0"/>
                    <w:snapToGrid w:val="0"/>
                    <w:spacing w:line="240" w:lineRule="auto"/>
                    <w:jc w:val="center"/>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废水</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bCs/>
                      <w:sz w:val="21"/>
                      <w:szCs w:val="21"/>
                    </w:rPr>
                    <w:t>化粪池一座；隔油池一座</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Merge w:val="restart"/>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固废</w:t>
                  </w:r>
                </w:p>
              </w:tc>
              <w:tc>
                <w:tcPr>
                  <w:tcW w:w="1718"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生活垃圾由垃圾桶集中收集，环卫部门定期清运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adjustRightInd w:val="0"/>
                    <w:snapToGrid w:val="0"/>
                    <w:spacing w:line="240" w:lineRule="auto"/>
                    <w:jc w:val="center"/>
                    <w:rPr>
                      <w:rFonts w:eastAsia="宋体"/>
                      <w:b/>
                      <w:spacing w:val="-6"/>
                      <w:sz w:val="21"/>
                      <w:szCs w:val="21"/>
                    </w:rPr>
                  </w:pPr>
                </w:p>
              </w:tc>
              <w:tc>
                <w:tcPr>
                  <w:tcW w:w="1441" w:type="dxa"/>
                  <w:vMerge w:val="continue"/>
                  <w:vAlign w:val="center"/>
                </w:tcPr>
                <w:p>
                  <w:pPr>
                    <w:widowControl w:val="0"/>
                    <w:adjustRightInd w:val="0"/>
                    <w:snapToGrid w:val="0"/>
                    <w:spacing w:line="240" w:lineRule="auto"/>
                    <w:jc w:val="center"/>
                    <w:rPr>
                      <w:rFonts w:eastAsia="宋体"/>
                      <w:spacing w:val="-6"/>
                      <w:sz w:val="21"/>
                      <w:szCs w:val="21"/>
                    </w:rPr>
                  </w:pPr>
                </w:p>
              </w:tc>
              <w:tc>
                <w:tcPr>
                  <w:tcW w:w="1718"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危险废物</w:t>
                  </w:r>
                </w:p>
              </w:tc>
              <w:tc>
                <w:tcPr>
                  <w:tcW w:w="4261" w:type="dxa"/>
                  <w:vAlign w:val="center"/>
                </w:tcPr>
                <w:p>
                  <w:pPr>
                    <w:widowControl w:val="0"/>
                    <w:adjustRightInd w:val="0"/>
                    <w:snapToGrid w:val="0"/>
                    <w:spacing w:line="240" w:lineRule="auto"/>
                    <w:jc w:val="center"/>
                    <w:rPr>
                      <w:rFonts w:eastAsia="宋体"/>
                      <w:spacing w:val="4"/>
                      <w:sz w:val="21"/>
                      <w:szCs w:val="21"/>
                    </w:rPr>
                  </w:pPr>
                  <w:r>
                    <w:rPr>
                      <w:rFonts w:eastAsia="宋体"/>
                      <w:sz w:val="21"/>
                      <w:szCs w:val="21"/>
                    </w:rPr>
                    <w:t>油罐清洗委托具有危险废物接收资质的专业第三方清洗单位清洗，产生的废液及罐渣由清洗单位清洗后即时直接清运；</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highlight w:val="yellow"/>
                    </w:rPr>
                  </w:pPr>
                  <w:r>
                    <w:rPr>
                      <w:rFonts w:eastAsia="宋体"/>
                      <w:spacing w:val="-6"/>
                      <w:sz w:val="21"/>
                      <w:szCs w:val="21"/>
                    </w:rPr>
                    <w:t>防渗措施</w:t>
                  </w:r>
                </w:p>
              </w:tc>
              <w:tc>
                <w:tcPr>
                  <w:tcW w:w="5979" w:type="dxa"/>
                  <w:gridSpan w:val="2"/>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项目储油罐属于地埋式储罐，储罐为内钢外玻璃纤维增强塑料双层油罐，底部及池壁采用防渗钢筋混凝土整体浇筑，渗透系数不大于1.0×10</w:t>
                  </w:r>
                  <w:r>
                    <w:rPr>
                      <w:rFonts w:eastAsia="宋体"/>
                      <w:spacing w:val="4"/>
                      <w:sz w:val="21"/>
                      <w:szCs w:val="21"/>
                      <w:vertAlign w:val="superscript"/>
                    </w:rPr>
                    <w:t>-7</w:t>
                  </w:r>
                  <w:r>
                    <w:rPr>
                      <w:rFonts w:eastAsia="宋体"/>
                      <w:spacing w:val="4"/>
                      <w:sz w:val="21"/>
                      <w:szCs w:val="21"/>
                    </w:rPr>
                    <w:t>cm/s</w:t>
                  </w:r>
                </w:p>
              </w:tc>
              <w:tc>
                <w:tcPr>
                  <w:tcW w:w="859" w:type="dxa"/>
                  <w:vAlign w:val="center"/>
                </w:tcPr>
                <w:p>
                  <w:pPr>
                    <w:widowControl w:val="0"/>
                    <w:adjustRightInd w:val="0"/>
                    <w:snapToGrid w:val="0"/>
                    <w:spacing w:line="240" w:lineRule="auto"/>
                    <w:jc w:val="center"/>
                    <w:rPr>
                      <w:rFonts w:eastAsia="宋体"/>
                      <w:spacing w:val="4"/>
                      <w:sz w:val="21"/>
                      <w:szCs w:val="21"/>
                    </w:rPr>
                  </w:pPr>
                  <w:r>
                    <w:rPr>
                      <w:rFonts w:eastAsia="宋体"/>
                      <w:spacing w:val="4"/>
                      <w:sz w:val="21"/>
                      <w:szCs w:val="21"/>
                    </w:rPr>
                    <w:t>已实施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1" w:type="dxa"/>
                  <w:vMerge w:val="continue"/>
                  <w:vAlign w:val="center"/>
                </w:tcPr>
                <w:p>
                  <w:pPr>
                    <w:widowControl w:val="0"/>
                    <w:adjustRightInd w:val="0"/>
                    <w:snapToGrid w:val="0"/>
                    <w:spacing w:line="240" w:lineRule="auto"/>
                    <w:jc w:val="center"/>
                    <w:rPr>
                      <w:rFonts w:eastAsia="宋体"/>
                      <w:b/>
                      <w:spacing w:val="-6"/>
                      <w:sz w:val="21"/>
                      <w:szCs w:val="21"/>
                    </w:rPr>
                  </w:pPr>
                </w:p>
              </w:tc>
              <w:tc>
                <w:tcPr>
                  <w:tcW w:w="1441" w:type="dxa"/>
                  <w:vAlign w:val="center"/>
                </w:tcPr>
                <w:p>
                  <w:pPr>
                    <w:widowControl w:val="0"/>
                    <w:adjustRightInd w:val="0"/>
                    <w:snapToGrid w:val="0"/>
                    <w:spacing w:line="240" w:lineRule="auto"/>
                    <w:jc w:val="center"/>
                    <w:rPr>
                      <w:rFonts w:eastAsia="宋体"/>
                      <w:spacing w:val="-6"/>
                      <w:sz w:val="21"/>
                      <w:szCs w:val="21"/>
                    </w:rPr>
                  </w:pPr>
                  <w:r>
                    <w:rPr>
                      <w:rFonts w:eastAsia="宋体"/>
                      <w:spacing w:val="-6"/>
                      <w:sz w:val="21"/>
                      <w:szCs w:val="21"/>
                    </w:rPr>
                    <w:t>绿化</w:t>
                  </w:r>
                </w:p>
              </w:tc>
              <w:tc>
                <w:tcPr>
                  <w:tcW w:w="5979" w:type="dxa"/>
                  <w:gridSpan w:val="2"/>
                  <w:vAlign w:val="center"/>
                </w:tcPr>
                <w:p>
                  <w:pPr>
                    <w:widowControl w:val="0"/>
                    <w:adjustRightInd w:val="0"/>
                    <w:snapToGrid w:val="0"/>
                    <w:spacing w:line="240" w:lineRule="auto"/>
                    <w:jc w:val="center"/>
                    <w:rPr>
                      <w:rFonts w:eastAsia="宋体"/>
                      <w:color w:val="FF0000"/>
                      <w:spacing w:val="4"/>
                      <w:sz w:val="21"/>
                      <w:szCs w:val="21"/>
                    </w:rPr>
                  </w:pPr>
                  <w:r>
                    <w:rPr>
                      <w:rFonts w:eastAsia="宋体"/>
                      <w:spacing w:val="4"/>
                      <w:sz w:val="21"/>
                      <w:szCs w:val="21"/>
                    </w:rPr>
                    <w:t>绿化面积</w:t>
                  </w:r>
                  <w:r>
                    <w:rPr>
                      <w:rFonts w:hint="eastAsia" w:eastAsia="宋体"/>
                      <w:spacing w:val="4"/>
                      <w:sz w:val="21"/>
                      <w:szCs w:val="21"/>
                    </w:rPr>
                    <w:t>440</w:t>
                  </w:r>
                  <w:r>
                    <w:rPr>
                      <w:rFonts w:eastAsia="宋体"/>
                      <w:spacing w:val="4"/>
                      <w:sz w:val="21"/>
                      <w:szCs w:val="21"/>
                    </w:rPr>
                    <w:t>m</w:t>
                  </w:r>
                  <w:r>
                    <w:rPr>
                      <w:rFonts w:eastAsia="宋体"/>
                      <w:spacing w:val="4"/>
                      <w:sz w:val="21"/>
                      <w:szCs w:val="21"/>
                      <w:vertAlign w:val="superscript"/>
                    </w:rPr>
                    <w:t>2</w:t>
                  </w:r>
                </w:p>
              </w:tc>
              <w:tc>
                <w:tcPr>
                  <w:tcW w:w="859" w:type="dxa"/>
                  <w:vAlign w:val="center"/>
                </w:tcPr>
                <w:p>
                  <w:pPr>
                    <w:widowControl w:val="0"/>
                    <w:adjustRightInd w:val="0"/>
                    <w:snapToGrid w:val="0"/>
                    <w:spacing w:line="240" w:lineRule="auto"/>
                    <w:jc w:val="center"/>
                    <w:rPr>
                      <w:rFonts w:eastAsia="宋体"/>
                      <w:color w:val="FF0000"/>
                      <w:spacing w:val="4"/>
                      <w:sz w:val="21"/>
                      <w:szCs w:val="21"/>
                    </w:rPr>
                  </w:pPr>
                </w:p>
              </w:tc>
            </w:tr>
          </w:tbl>
          <w:p>
            <w:pPr>
              <w:snapToGrid w:val="0"/>
              <w:spacing w:line="500" w:lineRule="exact"/>
              <w:ind w:firstLine="480" w:firstLineChars="200"/>
              <w:rPr>
                <w:rFonts w:eastAsia="宋体"/>
                <w:sz w:val="24"/>
                <w:szCs w:val="24"/>
              </w:rPr>
            </w:pPr>
            <w:r>
              <w:rPr>
                <w:rFonts w:eastAsia="宋体"/>
                <w:sz w:val="24"/>
                <w:szCs w:val="24"/>
              </w:rPr>
              <w:t>（3）主要生产设备</w:t>
            </w:r>
          </w:p>
          <w:p>
            <w:pPr>
              <w:snapToGrid w:val="0"/>
              <w:spacing w:line="500" w:lineRule="exact"/>
              <w:ind w:firstLine="480" w:firstLineChars="200"/>
              <w:rPr>
                <w:rFonts w:eastAsia="宋体"/>
                <w:sz w:val="24"/>
                <w:szCs w:val="24"/>
              </w:rPr>
            </w:pPr>
            <w:r>
              <w:rPr>
                <w:rFonts w:eastAsia="宋体"/>
                <w:sz w:val="24"/>
                <w:szCs w:val="24"/>
              </w:rPr>
              <w:t>项目主要生产设备见表1-3。</w:t>
            </w:r>
          </w:p>
          <w:p>
            <w:pPr>
              <w:snapToGrid w:val="0"/>
              <w:spacing w:line="500" w:lineRule="exact"/>
              <w:ind w:firstLine="482" w:firstLineChars="200"/>
              <w:jc w:val="center"/>
              <w:rPr>
                <w:rFonts w:eastAsia="宋体"/>
                <w:b/>
                <w:sz w:val="24"/>
                <w:szCs w:val="24"/>
              </w:rPr>
            </w:pPr>
            <w:r>
              <w:rPr>
                <w:rFonts w:eastAsia="宋体"/>
                <w:b/>
                <w:sz w:val="24"/>
                <w:szCs w:val="24"/>
              </w:rPr>
              <w:t>表1-3 主要生产设备表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126"/>
              <w:gridCol w:w="2410"/>
              <w:gridCol w:w="709"/>
              <w:gridCol w:w="850"/>
              <w:gridCol w:w="20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名  称</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规格型号</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单位</w:t>
                  </w:r>
                </w:p>
              </w:tc>
              <w:tc>
                <w:tcPr>
                  <w:tcW w:w="203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126"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2410"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w:t>
                  </w:r>
                  <w:r>
                    <w:rPr>
                      <w:rFonts w:eastAsia="宋体"/>
                      <w:sz w:val="21"/>
                      <w:szCs w:val="21"/>
                    </w:rPr>
                    <w:t>枪加油机</w:t>
                  </w:r>
                </w:p>
              </w:tc>
              <w:tc>
                <w:tcPr>
                  <w:tcW w:w="709"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850" w:type="dxa"/>
                  <w:tcBorders>
                    <w:bottom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Borders>
                    <w:bottom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w:t>
                  </w:r>
                  <w:r>
                    <w:rPr>
                      <w:rFonts w:eastAsia="宋体"/>
                      <w:sz w:val="21"/>
                      <w:szCs w:val="21"/>
                    </w:rPr>
                    <w:t>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26"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柴油罐</w:t>
                  </w:r>
                </w:p>
              </w:tc>
              <w:tc>
                <w:tcPr>
                  <w:tcW w:w="2410"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709"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hint="eastAsia" w:eastAsia="宋体"/>
                      <w:sz w:val="21"/>
                      <w:szCs w:val="21"/>
                      <w:lang w:eastAsia="zh-CN"/>
                    </w:rPr>
                  </w:pPr>
                  <w:r>
                    <w:rPr>
                      <w:rFonts w:hint="eastAsia" w:eastAsia="宋体"/>
                      <w:sz w:val="21"/>
                      <w:szCs w:val="21"/>
                      <w:lang w:val="en-US" w:eastAsia="zh-CN"/>
                    </w:rPr>
                    <w:t>1</w:t>
                  </w:r>
                </w:p>
              </w:tc>
              <w:tc>
                <w:tcPr>
                  <w:tcW w:w="850" w:type="dxa"/>
                  <w:tcBorders>
                    <w:top w:val="single" w:color="auto" w:sz="2" w:space="0"/>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035" w:type="dxa"/>
                  <w:tcBorders>
                    <w:top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地埋式SF双层储罐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汽油罐</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30m</w:t>
                  </w:r>
                  <w:r>
                    <w:rPr>
                      <w:rFonts w:eastAsia="宋体"/>
                      <w:sz w:val="21"/>
                      <w:szCs w:val="21"/>
                      <w:vertAlign w:val="superscript"/>
                    </w:rPr>
                    <w:t>3</w:t>
                  </w:r>
                  <w:r>
                    <w:rPr>
                      <w:rFonts w:eastAsia="宋体"/>
                      <w:sz w:val="21"/>
                      <w:szCs w:val="21"/>
                    </w:rPr>
                    <w:t>/座</w:t>
                  </w:r>
                </w:p>
              </w:tc>
              <w:tc>
                <w:tcPr>
                  <w:tcW w:w="709" w:type="dxa"/>
                  <w:tcBorders>
                    <w:right w:val="single" w:color="auto" w:sz="2" w:space="0"/>
                  </w:tcBorders>
                  <w:vAlign w:val="center"/>
                </w:tcPr>
                <w:p>
                  <w:pPr>
                    <w:widowControl w:val="0"/>
                    <w:tabs>
                      <w:tab w:val="center" w:pos="4153"/>
                      <w:tab w:val="right" w:pos="8306"/>
                    </w:tabs>
                    <w:snapToGrid w:val="0"/>
                    <w:spacing w:line="240" w:lineRule="auto"/>
                    <w:ind w:left="-140" w:leftChars="-50" w:right="-140" w:rightChars="-50"/>
                    <w:jc w:val="center"/>
                    <w:rPr>
                      <w:rFonts w:hint="eastAsia" w:eastAsia="宋体"/>
                      <w:sz w:val="21"/>
                      <w:szCs w:val="21"/>
                      <w:lang w:eastAsia="zh-CN"/>
                    </w:rPr>
                  </w:pPr>
                  <w:r>
                    <w:rPr>
                      <w:rFonts w:hint="eastAsia" w:eastAsia="宋体"/>
                      <w:sz w:val="21"/>
                      <w:szCs w:val="21"/>
                      <w:lang w:val="en-US" w:eastAsia="zh-CN"/>
                    </w:rPr>
                    <w:t>4</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座</w:t>
                  </w:r>
                </w:p>
              </w:tc>
              <w:tc>
                <w:tcPr>
                  <w:tcW w:w="203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地埋式SF双层储罐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电子液位仪</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带有高液位报警功能</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潜油泵</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200L/min，0.75HP</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lang w:val="en-US" w:eastAsia="zh-CN"/>
                    </w:rPr>
                    <w:t>5</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一次油气回收系统</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卸油区</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二次油气回收系统</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加油岛、油枪</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套</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8</w:t>
                  </w:r>
                </w:p>
              </w:tc>
              <w:tc>
                <w:tcPr>
                  <w:tcW w:w="2126" w:type="dxa"/>
                  <w:vAlign w:val="center"/>
                </w:tcPr>
                <w:p>
                  <w:pPr>
                    <w:widowControl w:val="0"/>
                    <w:tabs>
                      <w:tab w:val="center" w:pos="4153"/>
                      <w:tab w:val="right" w:pos="8306"/>
                    </w:tabs>
                    <w:snapToGrid w:val="0"/>
                    <w:spacing w:line="240" w:lineRule="auto"/>
                    <w:ind w:left="-140" w:leftChars="-50" w:right="-140" w:rightChars="-50"/>
                    <w:jc w:val="center"/>
                    <w:rPr>
                      <w:rFonts w:eastAsia="宋体"/>
                      <w:sz w:val="21"/>
                      <w:szCs w:val="21"/>
                    </w:rPr>
                  </w:pPr>
                  <w:r>
                    <w:rPr>
                      <w:rFonts w:eastAsia="宋体"/>
                      <w:sz w:val="21"/>
                      <w:szCs w:val="21"/>
                    </w:rPr>
                    <w:t>备用发电机</w:t>
                  </w:r>
                </w:p>
              </w:tc>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24kw</w:t>
                  </w:r>
                </w:p>
              </w:tc>
              <w:tc>
                <w:tcPr>
                  <w:tcW w:w="709"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850" w:type="dxa"/>
                  <w:tcBorders>
                    <w:right w:val="single" w:color="auto" w:sz="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台</w:t>
                  </w:r>
                </w:p>
              </w:tc>
              <w:tc>
                <w:tcPr>
                  <w:tcW w:w="2035" w:type="dxa"/>
                </w:tcPr>
                <w:p>
                  <w:pPr>
                    <w:widowControl w:val="0"/>
                    <w:tabs>
                      <w:tab w:val="center" w:pos="4153"/>
                      <w:tab w:val="right" w:pos="8306"/>
                    </w:tabs>
                    <w:snapToGrid w:val="0"/>
                    <w:spacing w:line="240" w:lineRule="auto"/>
                    <w:jc w:val="center"/>
                    <w:rPr>
                      <w:rFonts w:eastAsia="宋体"/>
                      <w:sz w:val="21"/>
                      <w:szCs w:val="21"/>
                    </w:rPr>
                  </w:pPr>
                </w:p>
              </w:tc>
            </w:tr>
          </w:tbl>
          <w:p>
            <w:pPr>
              <w:snapToGrid w:val="0"/>
              <w:spacing w:line="500" w:lineRule="exact"/>
              <w:ind w:firstLine="480" w:firstLineChars="200"/>
              <w:rPr>
                <w:rFonts w:eastAsia="宋体"/>
                <w:sz w:val="24"/>
                <w:szCs w:val="24"/>
              </w:rPr>
            </w:pPr>
            <w:r>
              <w:rPr>
                <w:rFonts w:eastAsia="宋体"/>
                <w:sz w:val="24"/>
                <w:szCs w:val="24"/>
              </w:rPr>
              <w:t>（4）主要原辅材料及消耗</w:t>
            </w:r>
          </w:p>
          <w:p>
            <w:pPr>
              <w:snapToGrid w:val="0"/>
              <w:spacing w:line="500" w:lineRule="exact"/>
              <w:ind w:firstLine="480" w:firstLineChars="200"/>
              <w:rPr>
                <w:rFonts w:eastAsia="宋体"/>
                <w:sz w:val="24"/>
                <w:szCs w:val="24"/>
              </w:rPr>
            </w:pPr>
            <w:r>
              <w:rPr>
                <w:rFonts w:eastAsia="宋体"/>
                <w:sz w:val="24"/>
                <w:szCs w:val="24"/>
              </w:rPr>
              <w:t>项目主要原辅材料及消耗见表1-4。</w:t>
            </w:r>
          </w:p>
          <w:p>
            <w:pPr>
              <w:snapToGrid w:val="0"/>
              <w:spacing w:line="500" w:lineRule="exact"/>
              <w:ind w:firstLine="482" w:firstLineChars="200"/>
              <w:jc w:val="center"/>
              <w:rPr>
                <w:rFonts w:eastAsia="宋体"/>
                <w:b/>
                <w:sz w:val="24"/>
                <w:szCs w:val="24"/>
              </w:rPr>
            </w:pPr>
            <w:r>
              <w:rPr>
                <w:rFonts w:eastAsia="宋体"/>
                <w:b/>
                <w:sz w:val="24"/>
                <w:szCs w:val="24"/>
              </w:rPr>
              <w:t>表1-4 项目主要原辅材料及消耗一览表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62"/>
              <w:gridCol w:w="1417"/>
              <w:gridCol w:w="1418"/>
              <w:gridCol w:w="1843"/>
              <w:gridCol w:w="2126"/>
              <w:gridCol w:w="132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62"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物料名称</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单位</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周转量</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来源及运输方式</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储存位置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10000</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储油罐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7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w:t>
                  </w:r>
                </w:p>
              </w:tc>
              <w:tc>
                <w:tcPr>
                  <w:tcW w:w="14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吨/年</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1500</w:t>
                  </w:r>
                </w:p>
              </w:tc>
              <w:tc>
                <w:tcPr>
                  <w:tcW w:w="2126"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国内/汽运</w:t>
                  </w:r>
                </w:p>
              </w:tc>
              <w:tc>
                <w:tcPr>
                  <w:tcW w:w="1326"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储油罐</w:t>
                  </w:r>
                </w:p>
              </w:tc>
            </w:tr>
          </w:tbl>
          <w:p>
            <w:pPr>
              <w:adjustRightInd w:val="0"/>
              <w:snapToGrid w:val="0"/>
              <w:spacing w:line="500" w:lineRule="exact"/>
              <w:ind w:firstLine="480" w:firstLineChars="200"/>
              <w:rPr>
                <w:rFonts w:eastAsia="宋体"/>
                <w:sz w:val="24"/>
                <w:szCs w:val="24"/>
              </w:rPr>
            </w:pPr>
            <w:r>
              <w:rPr>
                <w:rFonts w:eastAsia="宋体"/>
                <w:sz w:val="24"/>
                <w:szCs w:val="24"/>
              </w:rPr>
              <w:t>本项目主要原辅材料理化性质、毒性毒理及危险特性见表1-5。</w:t>
            </w:r>
          </w:p>
          <w:p>
            <w:pPr>
              <w:snapToGrid w:val="0"/>
              <w:spacing w:line="500" w:lineRule="exact"/>
              <w:ind w:firstLine="482" w:firstLineChars="200"/>
              <w:jc w:val="center"/>
              <w:rPr>
                <w:rFonts w:eastAsia="宋体"/>
                <w:b/>
                <w:sz w:val="24"/>
                <w:szCs w:val="24"/>
              </w:rPr>
            </w:pPr>
            <w:r>
              <w:rPr>
                <w:rFonts w:eastAsia="宋体"/>
                <w:b/>
                <w:sz w:val="24"/>
                <w:szCs w:val="24"/>
              </w:rPr>
              <w:t>表1-5 主要原辅材料理化性质、毒性毒理及危险特性</w:t>
            </w:r>
          </w:p>
          <w:tbl>
            <w:tblPr>
              <w:tblStyle w:val="28"/>
              <w:tblW w:w="914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955"/>
              <w:gridCol w:w="992"/>
              <w:gridCol w:w="3108"/>
              <w:gridCol w:w="245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名称</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理化性质</w:t>
                  </w:r>
                </w:p>
              </w:tc>
              <w:tc>
                <w:tcPr>
                  <w:tcW w:w="99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毒理性质</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急救与救护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汽油</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分子式：C4H10–C12H26，沸点(℃)：38-204℃，闪点：&lt;23℃，相对密度（水＝1）：0.70～0.79，相对密度（空气=1）：3.5。无色或淡黄色易挥发液体，具有特殊臭味。不溶于水、易溶于苯、二硫化碳、醇、易溶于脂肪。爆炸极限为1.0%～6%。</w:t>
                  </w:r>
                </w:p>
              </w:tc>
              <w:tc>
                <w:tcPr>
                  <w:tcW w:w="99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LC50：67000mg/kg（小鼠经口）</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皮肤接触：立即脱去衣着，用大量水冲洗至少10分钟。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眼睛接触：立即用大量水冲洗至少10分钟，敷1%的氯霉素眼膏。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吸入：立即脱离现场至空气新鲜处，保暖并休息。必要时就医。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食入：误服者立即漱口，保暖，饮水。就医。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32"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柴油</w:t>
                  </w:r>
                </w:p>
              </w:tc>
              <w:tc>
                <w:tcPr>
                  <w:tcW w:w="1955"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分子式：C4H10~C12H26，沸点：200～350℃，闪点：45～55℃，相对密度（水＝1）：0.87～0.90。稍有粘性的棕色液体。不溶于水，易溶于苯、二硫化碳、醇，易溶于脂肪。爆炸极限为0.5%～4.1%。</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属低毒类</w:t>
                  </w:r>
                </w:p>
              </w:tc>
              <w:tc>
                <w:tcPr>
                  <w:tcW w:w="3108"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侵入途径：吸入、食入、经皮吸收。</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健康危害：皮肤接触可为主要吸收途径，可致急性肾脏损害。柴油可引起接触性皮炎、油性痤疮。吸入其雾滴或液体呛入可引起吸入性肺炎。能经胎盘进入胎儿血中。柴油废气可引起眼、鼻刺激症状、头晕及头痛。</w:t>
                  </w:r>
                </w:p>
              </w:tc>
              <w:tc>
                <w:tcPr>
                  <w:tcW w:w="2453" w:type="dxa"/>
                  <w:vAlign w:val="center"/>
                </w:tcPr>
                <w:p>
                  <w:pPr>
                    <w:pStyle w:val="82"/>
                    <w:widowControl w:val="0"/>
                    <w:tabs>
                      <w:tab w:val="center" w:pos="4153"/>
                      <w:tab w:val="right" w:pos="8306"/>
                    </w:tabs>
                    <w:snapToGrid w:val="0"/>
                    <w:spacing w:line="240" w:lineRule="auto"/>
                    <w:jc w:val="center"/>
                    <w:rPr>
                      <w:kern w:val="2"/>
                      <w:sz w:val="21"/>
                      <w:szCs w:val="21"/>
                    </w:rPr>
                  </w:pPr>
                  <w:r>
                    <w:rPr>
                      <w:kern w:val="2"/>
                      <w:sz w:val="21"/>
                      <w:szCs w:val="21"/>
                    </w:rPr>
                    <w:t>皮肤接触：立即脱去衣着，用肥皂水和清水彻底冲洗皮肤，就医。</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眼睛接触：提起眼睑，用流动清水或生理盐水冲洗，就医。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吸入：迅速脱离现场至空气新鲜处，保持呼吸道通畅。如呼吸困难，给输氧。如呼吸停止，立即进行人工呼吸，就医。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 xml:space="preserve">食入：尽快彻底洗胃，就医。 </w:t>
                  </w:r>
                </w:p>
                <w:p>
                  <w:pPr>
                    <w:pStyle w:val="82"/>
                    <w:widowControl w:val="0"/>
                    <w:tabs>
                      <w:tab w:val="center" w:pos="4153"/>
                      <w:tab w:val="right" w:pos="8306"/>
                    </w:tabs>
                    <w:snapToGrid w:val="0"/>
                    <w:spacing w:line="240" w:lineRule="auto"/>
                    <w:jc w:val="center"/>
                    <w:rPr>
                      <w:kern w:val="2"/>
                      <w:sz w:val="21"/>
                      <w:szCs w:val="21"/>
                    </w:rPr>
                  </w:pPr>
                  <w:r>
                    <w:rPr>
                      <w:kern w:val="2"/>
                      <w:sz w:val="21"/>
                      <w:szCs w:val="21"/>
                    </w:rPr>
                    <w:t>灭火方法：雾状水、干粉、泡沫、二氧化碳、砂土。</w:t>
                  </w:r>
                </w:p>
              </w:tc>
            </w:tr>
          </w:tbl>
          <w:p>
            <w:pPr>
              <w:snapToGrid w:val="0"/>
              <w:spacing w:line="500" w:lineRule="exact"/>
              <w:ind w:firstLine="482" w:firstLineChars="200"/>
              <w:rPr>
                <w:rFonts w:eastAsia="宋体"/>
                <w:b/>
                <w:sz w:val="24"/>
                <w:szCs w:val="24"/>
              </w:rPr>
            </w:pPr>
            <w:r>
              <w:rPr>
                <w:rFonts w:eastAsia="宋体"/>
                <w:b/>
                <w:sz w:val="24"/>
                <w:szCs w:val="24"/>
              </w:rPr>
              <w:t>3、公用工程</w:t>
            </w:r>
          </w:p>
          <w:p>
            <w:pPr>
              <w:adjustRightInd w:val="0"/>
              <w:snapToGrid w:val="0"/>
              <w:spacing w:line="500" w:lineRule="exact"/>
              <w:ind w:firstLine="480" w:firstLineChars="200"/>
              <w:rPr>
                <w:rFonts w:eastAsia="宋体"/>
                <w:sz w:val="24"/>
                <w:szCs w:val="24"/>
              </w:rPr>
            </w:pPr>
            <w:r>
              <w:rPr>
                <w:rFonts w:eastAsia="宋体"/>
                <w:sz w:val="24"/>
                <w:szCs w:val="24"/>
              </w:rPr>
              <w:t>（1）给水</w:t>
            </w:r>
          </w:p>
          <w:p>
            <w:pPr>
              <w:adjustRightInd w:val="0"/>
              <w:snapToGrid w:val="0"/>
              <w:spacing w:line="500" w:lineRule="exact"/>
              <w:ind w:firstLine="480" w:firstLineChars="200"/>
              <w:rPr>
                <w:rFonts w:eastAsia="宋体"/>
                <w:sz w:val="24"/>
                <w:szCs w:val="24"/>
              </w:rPr>
            </w:pPr>
            <w:r>
              <w:rPr>
                <w:rFonts w:eastAsia="宋体"/>
                <w:sz w:val="24"/>
                <w:szCs w:val="24"/>
              </w:rPr>
              <w:t>项目投产营运后主要用水为生活用水，项目用水由市政管网供给。</w:t>
            </w:r>
          </w:p>
          <w:p>
            <w:pPr>
              <w:adjustRightInd w:val="0"/>
              <w:snapToGrid w:val="0"/>
              <w:spacing w:line="500" w:lineRule="exact"/>
              <w:ind w:firstLine="480" w:firstLineChars="200"/>
              <w:rPr>
                <w:rFonts w:eastAsia="宋体"/>
                <w:sz w:val="24"/>
                <w:szCs w:val="24"/>
              </w:rPr>
            </w:pPr>
            <w:r>
              <w:rPr>
                <w:rFonts w:eastAsia="宋体"/>
                <w:sz w:val="24"/>
                <w:szCs w:val="24"/>
              </w:rPr>
              <w:t>（2）排水</w:t>
            </w:r>
          </w:p>
          <w:p>
            <w:pPr>
              <w:adjustRightInd w:val="0"/>
              <w:snapToGrid w:val="0"/>
              <w:spacing w:line="500" w:lineRule="exact"/>
              <w:ind w:firstLine="480" w:firstLineChars="200"/>
              <w:rPr>
                <w:rFonts w:eastAsia="宋体"/>
                <w:sz w:val="24"/>
                <w:szCs w:val="24"/>
              </w:rPr>
            </w:pPr>
            <w:r>
              <w:rPr>
                <w:rFonts w:eastAsia="宋体"/>
                <w:sz w:val="24"/>
                <w:szCs w:val="24"/>
              </w:rPr>
              <w:t>站内采取雨污分流制，雨水经雨水管网收集后进入城市雨水管网，项目生活污水经化粪池预处理后排入市政污水管网后进入</w:t>
            </w:r>
            <w:r>
              <w:rPr>
                <w:rFonts w:hint="eastAsia" w:eastAsia="宋体"/>
                <w:bCs/>
                <w:sz w:val="24"/>
                <w:szCs w:val="24"/>
              </w:rPr>
              <w:t>沭阳县城东污水处理有限公司</w:t>
            </w:r>
            <w:r>
              <w:rPr>
                <w:rFonts w:eastAsia="宋体"/>
                <w:sz w:val="24"/>
                <w:szCs w:val="24"/>
              </w:rPr>
              <w:t>处理。</w:t>
            </w:r>
          </w:p>
          <w:p>
            <w:pPr>
              <w:adjustRightInd w:val="0"/>
              <w:snapToGrid w:val="0"/>
              <w:spacing w:line="500" w:lineRule="exact"/>
              <w:ind w:firstLine="480" w:firstLineChars="200"/>
              <w:rPr>
                <w:rFonts w:eastAsia="宋体"/>
                <w:sz w:val="24"/>
                <w:szCs w:val="24"/>
              </w:rPr>
            </w:pPr>
            <w:r>
              <w:rPr>
                <w:rFonts w:eastAsia="宋体"/>
                <w:sz w:val="24"/>
                <w:szCs w:val="24"/>
              </w:rPr>
              <w:t>（3）供电</w:t>
            </w:r>
          </w:p>
          <w:p>
            <w:pPr>
              <w:adjustRightInd w:val="0"/>
              <w:snapToGrid w:val="0"/>
              <w:spacing w:line="500" w:lineRule="exact"/>
              <w:ind w:firstLine="480" w:firstLineChars="200"/>
              <w:rPr>
                <w:rFonts w:eastAsia="宋体"/>
                <w:sz w:val="24"/>
                <w:szCs w:val="24"/>
              </w:rPr>
            </w:pPr>
            <w:r>
              <w:rPr>
                <w:rFonts w:eastAsia="宋体"/>
                <w:sz w:val="24"/>
                <w:szCs w:val="24"/>
              </w:rPr>
              <w:t>项目用电由当地供电部门统一供给。用于设备运行、照明等。站区配套一台功率为24kw 的柴油发电机作为备用电源。</w:t>
            </w:r>
          </w:p>
          <w:p>
            <w:pPr>
              <w:adjustRightInd w:val="0"/>
              <w:snapToGrid w:val="0"/>
              <w:spacing w:line="500" w:lineRule="exact"/>
              <w:ind w:firstLine="480" w:firstLineChars="200"/>
              <w:rPr>
                <w:rFonts w:eastAsia="宋体"/>
                <w:sz w:val="24"/>
                <w:szCs w:val="24"/>
              </w:rPr>
            </w:pPr>
            <w:r>
              <w:rPr>
                <w:rFonts w:eastAsia="宋体"/>
                <w:sz w:val="24"/>
                <w:szCs w:val="24"/>
              </w:rPr>
              <w:t>（4）消防</w:t>
            </w:r>
          </w:p>
          <w:p>
            <w:pPr>
              <w:adjustRightInd w:val="0"/>
              <w:snapToGrid w:val="0"/>
              <w:spacing w:line="500" w:lineRule="exact"/>
              <w:ind w:firstLine="480" w:firstLineChars="200"/>
              <w:rPr>
                <w:rFonts w:eastAsia="宋体"/>
                <w:sz w:val="24"/>
                <w:szCs w:val="24"/>
              </w:rPr>
            </w:pPr>
            <w:r>
              <w:rPr>
                <w:rFonts w:eastAsia="宋体"/>
                <w:sz w:val="24"/>
                <w:szCs w:val="24"/>
              </w:rPr>
              <w:t>本站设置4kg 手提式干粉灭火器</w:t>
            </w:r>
            <w:r>
              <w:rPr>
                <w:rFonts w:hint="eastAsia" w:eastAsia="宋体"/>
                <w:sz w:val="24"/>
                <w:szCs w:val="24"/>
              </w:rPr>
              <w:t>14</w:t>
            </w:r>
            <w:r>
              <w:rPr>
                <w:rFonts w:eastAsia="宋体"/>
                <w:sz w:val="24"/>
                <w:szCs w:val="24"/>
              </w:rPr>
              <w:t>具，35kg干粉灭火器2具，2m</w:t>
            </w:r>
            <w:r>
              <w:rPr>
                <w:rFonts w:eastAsia="宋体"/>
                <w:sz w:val="24"/>
                <w:szCs w:val="24"/>
                <w:vertAlign w:val="superscript"/>
              </w:rPr>
              <w:t>3</w:t>
            </w:r>
            <w:r>
              <w:rPr>
                <w:rFonts w:eastAsia="宋体"/>
                <w:sz w:val="24"/>
                <w:szCs w:val="24"/>
              </w:rPr>
              <w:t>消防砂箱1个。</w:t>
            </w:r>
          </w:p>
          <w:p>
            <w:pPr>
              <w:snapToGrid w:val="0"/>
              <w:spacing w:line="500" w:lineRule="exact"/>
              <w:ind w:firstLine="482" w:firstLineChars="200"/>
              <w:rPr>
                <w:rFonts w:eastAsia="宋体"/>
                <w:b/>
                <w:sz w:val="24"/>
                <w:szCs w:val="24"/>
              </w:rPr>
            </w:pPr>
            <w:r>
              <w:rPr>
                <w:rFonts w:eastAsia="宋体"/>
                <w:b/>
                <w:sz w:val="24"/>
                <w:szCs w:val="24"/>
              </w:rPr>
              <w:t>4、劳动定员及工作制</w:t>
            </w:r>
          </w:p>
          <w:p>
            <w:pPr>
              <w:adjustRightInd w:val="0"/>
              <w:snapToGrid w:val="0"/>
              <w:spacing w:line="500" w:lineRule="exact"/>
              <w:ind w:firstLine="480" w:firstLineChars="200"/>
              <w:rPr>
                <w:rFonts w:eastAsia="宋体"/>
                <w:sz w:val="24"/>
                <w:szCs w:val="24"/>
              </w:rPr>
            </w:pPr>
            <w:r>
              <w:rPr>
                <w:rFonts w:eastAsia="宋体"/>
                <w:sz w:val="24"/>
                <w:szCs w:val="24"/>
              </w:rPr>
              <w:t>加油站配备工作人员</w:t>
            </w:r>
            <w:r>
              <w:rPr>
                <w:rFonts w:hint="eastAsia" w:eastAsia="宋体"/>
                <w:sz w:val="24"/>
                <w:szCs w:val="24"/>
              </w:rPr>
              <w:t>12</w:t>
            </w:r>
            <w:r>
              <w:rPr>
                <w:rFonts w:eastAsia="宋体"/>
                <w:sz w:val="24"/>
                <w:szCs w:val="24"/>
              </w:rPr>
              <w:t>人，实行三班制，每班工作8 小时，年运营时间为365 天。</w:t>
            </w:r>
          </w:p>
          <w:p>
            <w:pPr>
              <w:snapToGrid w:val="0"/>
              <w:spacing w:line="500" w:lineRule="exact"/>
              <w:ind w:firstLine="482" w:firstLineChars="200"/>
              <w:rPr>
                <w:rFonts w:eastAsia="宋体"/>
                <w:b/>
                <w:sz w:val="24"/>
                <w:szCs w:val="24"/>
              </w:rPr>
            </w:pPr>
            <w:r>
              <w:rPr>
                <w:rFonts w:eastAsia="宋体"/>
                <w:b/>
                <w:sz w:val="24"/>
                <w:szCs w:val="24"/>
              </w:rPr>
              <w:t>5、环保投资</w:t>
            </w:r>
          </w:p>
          <w:p>
            <w:pPr>
              <w:adjustRightInd w:val="0"/>
              <w:snapToGrid w:val="0"/>
              <w:spacing w:line="500" w:lineRule="exact"/>
              <w:ind w:firstLine="480" w:firstLineChars="200"/>
              <w:rPr>
                <w:rFonts w:eastAsia="宋体"/>
                <w:sz w:val="24"/>
                <w:szCs w:val="24"/>
              </w:rPr>
            </w:pPr>
            <w:r>
              <w:rPr>
                <w:rFonts w:eastAsia="宋体"/>
                <w:sz w:val="24"/>
                <w:szCs w:val="24"/>
              </w:rPr>
              <w:t>项目环保投资总额计</w:t>
            </w:r>
            <w:r>
              <w:rPr>
                <w:rFonts w:hint="eastAsia" w:eastAsia="宋体"/>
                <w:sz w:val="24"/>
                <w:szCs w:val="24"/>
              </w:rPr>
              <w:t>50</w:t>
            </w:r>
            <w:r>
              <w:rPr>
                <w:rFonts w:eastAsia="宋体"/>
                <w:sz w:val="24"/>
                <w:szCs w:val="24"/>
              </w:rPr>
              <w:t>万元，占总投资的</w:t>
            </w:r>
            <w:r>
              <w:rPr>
                <w:rFonts w:hint="eastAsia" w:eastAsia="宋体"/>
                <w:sz w:val="24"/>
                <w:szCs w:val="24"/>
              </w:rPr>
              <w:t>3.84</w:t>
            </w:r>
            <w:r>
              <w:rPr>
                <w:rFonts w:eastAsia="宋体"/>
                <w:sz w:val="24"/>
                <w:szCs w:val="24"/>
              </w:rPr>
              <w:t>%，具体环保投资概算见表1-6。</w:t>
            </w:r>
          </w:p>
          <w:p>
            <w:pPr>
              <w:adjustRightInd w:val="0"/>
              <w:snapToGrid w:val="0"/>
              <w:spacing w:line="500" w:lineRule="exact"/>
              <w:ind w:firstLine="482" w:firstLineChars="200"/>
              <w:jc w:val="center"/>
              <w:rPr>
                <w:rFonts w:eastAsia="宋体"/>
                <w:b/>
                <w:sz w:val="24"/>
                <w:szCs w:val="24"/>
              </w:rPr>
            </w:pPr>
            <w:r>
              <w:rPr>
                <w:rFonts w:eastAsia="宋体"/>
                <w:b/>
                <w:sz w:val="24"/>
                <w:szCs w:val="24"/>
              </w:rPr>
              <w:t>表1-6 项目环保措施投资清单</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82"/>
              <w:gridCol w:w="810"/>
              <w:gridCol w:w="1847"/>
              <w:gridCol w:w="992"/>
              <w:gridCol w:w="1065"/>
              <w:gridCol w:w="2195"/>
              <w:gridCol w:w="90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vAlign w:val="center"/>
                </w:tcPr>
                <w:p>
                  <w:pPr>
                    <w:widowControl w:val="0"/>
                    <w:tabs>
                      <w:tab w:val="center" w:pos="4153"/>
                      <w:tab w:val="right" w:pos="8306"/>
                    </w:tabs>
                    <w:snapToGrid w:val="0"/>
                    <w:spacing w:line="240" w:lineRule="auto"/>
                    <w:jc w:val="center"/>
                    <w:rPr>
                      <w:rFonts w:eastAsia="宋体"/>
                      <w:sz w:val="21"/>
                      <w:szCs w:val="21"/>
                    </w:rPr>
                  </w:pPr>
                  <w:bookmarkStart w:id="0" w:name="OLE_LINK4"/>
                  <w:r>
                    <w:rPr>
                      <w:rFonts w:eastAsia="宋体"/>
                      <w:sz w:val="21"/>
                      <w:szCs w:val="21"/>
                    </w:rPr>
                    <w:t>污染种类</w:t>
                  </w:r>
                </w:p>
              </w:tc>
              <w:tc>
                <w:tcPr>
                  <w:tcW w:w="265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设施名称</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0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环保投资</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（万元）</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处理效果</w:t>
                  </w:r>
                </w:p>
              </w:tc>
              <w:tc>
                <w:tcPr>
                  <w:tcW w:w="901" w:type="dxa"/>
                  <w:tcBorders>
                    <w:left w:val="single" w:color="auto" w:sz="4" w:space="0"/>
                  </w:tcBorders>
                  <w:vAlign w:val="center"/>
                </w:tcPr>
                <w:p>
                  <w:pPr>
                    <w:widowControl w:val="0"/>
                    <w:tabs>
                      <w:tab w:val="center" w:pos="4153"/>
                      <w:tab w:val="right" w:pos="8306"/>
                    </w:tabs>
                    <w:adjustRightInd w:val="0"/>
                    <w:snapToGrid w:val="0"/>
                    <w:spacing w:line="240" w:lineRule="auto"/>
                    <w:jc w:val="center"/>
                    <w:rPr>
                      <w:rFonts w:eastAsia="宋体"/>
                      <w:sz w:val="21"/>
                      <w:szCs w:val="21"/>
                    </w:rPr>
                  </w:pPr>
                  <w:r>
                    <w:rPr>
                      <w:rFonts w:eastAsia="宋体"/>
                      <w:sz w:val="21"/>
                      <w:szCs w:val="21"/>
                    </w:rPr>
                    <w:t>建设</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计划</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废气</w:t>
                  </w:r>
                </w:p>
              </w:tc>
              <w:tc>
                <w:tcPr>
                  <w:tcW w:w="2657" w:type="dxa"/>
                  <w:gridSpan w:val="2"/>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卸油油气回收系统1套</w:t>
                  </w:r>
                </w:p>
                <w:p>
                  <w:pPr>
                    <w:pStyle w:val="25"/>
                    <w:snapToGrid w:val="0"/>
                    <w:spacing w:after="0" w:line="240" w:lineRule="auto"/>
                    <w:ind w:firstLine="0" w:firstLineChars="0"/>
                    <w:jc w:val="center"/>
                    <w:rPr>
                      <w:rFonts w:eastAsia="宋体"/>
                      <w:sz w:val="21"/>
                      <w:szCs w:val="21"/>
                    </w:rPr>
                  </w:pPr>
                  <w:r>
                    <w:rPr>
                      <w:rFonts w:eastAsia="宋体"/>
                      <w:sz w:val="21"/>
                      <w:szCs w:val="21"/>
                    </w:rPr>
                    <w:t>加油油气回收系统</w:t>
                  </w:r>
                  <w:r>
                    <w:rPr>
                      <w:rFonts w:hint="eastAsia" w:eastAsia="宋体"/>
                      <w:sz w:val="21"/>
                      <w:szCs w:val="21"/>
                    </w:rPr>
                    <w:t>1</w:t>
                  </w:r>
                  <w:r>
                    <w:rPr>
                      <w:rFonts w:eastAsia="宋体"/>
                      <w:sz w:val="21"/>
                      <w:szCs w:val="21"/>
                    </w:rPr>
                    <w:t>套</w:t>
                  </w:r>
                </w:p>
              </w:tc>
              <w:tc>
                <w:tcPr>
                  <w:tcW w:w="992"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套</w:t>
                  </w:r>
                </w:p>
              </w:tc>
              <w:tc>
                <w:tcPr>
                  <w:tcW w:w="10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color w:val="FF0000"/>
                      <w:sz w:val="21"/>
                      <w:szCs w:val="21"/>
                    </w:rPr>
                  </w:pPr>
                  <w:r>
                    <w:rPr>
                      <w:rFonts w:eastAsia="宋体"/>
                      <w:sz w:val="21"/>
                      <w:szCs w:val="21"/>
                    </w:rPr>
                    <w:t>20</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达标排放，满足相关标准</w:t>
                  </w:r>
                </w:p>
              </w:tc>
              <w:tc>
                <w:tcPr>
                  <w:tcW w:w="901" w:type="dxa"/>
                  <w:vMerge w:val="restart"/>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与该项目“同时设计、同时施工、同时投入运行”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生活废水</w:t>
                  </w:r>
                </w:p>
              </w:tc>
              <w:tc>
                <w:tcPr>
                  <w:tcW w:w="265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化粪池</w:t>
                  </w:r>
                </w:p>
              </w:tc>
              <w:tc>
                <w:tcPr>
                  <w:tcW w:w="99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1座</w:t>
                  </w:r>
                </w:p>
              </w:tc>
              <w:tc>
                <w:tcPr>
                  <w:tcW w:w="10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满足污水处理厂接管标准</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设备隔声减振设施、设置禁鸣标志、设置减速带</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场界达标</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w:t>
                  </w:r>
                </w:p>
              </w:tc>
              <w:tc>
                <w:tcPr>
                  <w:tcW w:w="810"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一般固废</w:t>
                  </w:r>
                </w:p>
              </w:tc>
              <w:tc>
                <w:tcPr>
                  <w:tcW w:w="1847" w:type="dxa"/>
                  <w:tcBorders>
                    <w:top w:val="single" w:color="auto" w:sz="4" w:space="0"/>
                    <w:left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垃圾桶若干</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2195" w:type="dxa"/>
                  <w:tcBorders>
                    <w:top w:val="single" w:color="auto" w:sz="4" w:space="0"/>
                    <w:bottom w:val="single" w:color="auto" w:sz="4" w:space="0"/>
                    <w:right w:val="single" w:color="auto" w:sz="4" w:space="0"/>
                  </w:tcBorders>
                  <w:vAlign w:val="center"/>
                </w:tcPr>
                <w:p>
                  <w:pPr>
                    <w:pStyle w:val="9"/>
                    <w:spacing w:line="240" w:lineRule="auto"/>
                    <w:jc w:val="center"/>
                    <w:rPr>
                      <w:rFonts w:eastAsia="宋体"/>
                      <w:sz w:val="21"/>
                      <w:szCs w:val="21"/>
                    </w:rPr>
                  </w:pPr>
                  <w:r>
                    <w:rPr>
                      <w:rFonts w:hint="eastAsia" w:eastAsia="宋体"/>
                      <w:sz w:val="21"/>
                      <w:szCs w:val="21"/>
                    </w:rPr>
                    <w:t>委托环卫处置</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排污口</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雨污管网及排口</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地下水防治措施</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c>
                <w:tcPr>
                  <w:tcW w:w="901" w:type="dxa"/>
                  <w:vMerge w:val="continue"/>
                  <w:tcBorders>
                    <w:left w:val="single" w:color="auto" w:sz="4" w:space="0"/>
                  </w:tcBorders>
                  <w:vAlign w:val="center"/>
                </w:tcPr>
                <w:p>
                  <w:pPr>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风险</w:t>
                  </w:r>
                </w:p>
              </w:tc>
              <w:tc>
                <w:tcPr>
                  <w:tcW w:w="2657" w:type="dxa"/>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设置泄漏在线监测报警系统；制定环境应急预案，加强应急演练；定期检查更换应急物资等</w:t>
                  </w:r>
                </w:p>
              </w:tc>
              <w:tc>
                <w:tcPr>
                  <w:tcW w:w="99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待编制应急预案，其他</w:t>
                  </w:r>
                  <w:r>
                    <w:rPr>
                      <w:rFonts w:eastAsia="宋体"/>
                      <w:sz w:val="21"/>
                      <w:szCs w:val="21"/>
                    </w:rPr>
                    <w:t>满足要求</w:t>
                  </w:r>
                </w:p>
              </w:tc>
              <w:tc>
                <w:tcPr>
                  <w:tcW w:w="901" w:type="dxa"/>
                  <w:vMerge w:val="continue"/>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1082"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绿化</w:t>
                  </w:r>
                </w:p>
              </w:tc>
              <w:tc>
                <w:tcPr>
                  <w:tcW w:w="3649" w:type="dxa"/>
                  <w:gridSpan w:val="3"/>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1065" w:type="dxa"/>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w:t>
                  </w:r>
                </w:p>
              </w:tc>
              <w:tc>
                <w:tcPr>
                  <w:tcW w:w="2195" w:type="dxa"/>
                  <w:tcBorders>
                    <w:top w:val="single" w:color="auto" w:sz="4" w:space="0"/>
                    <w:bottom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满足要求</w:t>
                  </w:r>
                </w:p>
              </w:tc>
              <w:tc>
                <w:tcPr>
                  <w:tcW w:w="901" w:type="dxa"/>
                  <w:vMerge w:val="continue"/>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31" w:type="dxa"/>
                  <w:gridSpan w:val="4"/>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合计</w:t>
                  </w:r>
                </w:p>
              </w:tc>
              <w:tc>
                <w:tcPr>
                  <w:tcW w:w="1065" w:type="dxa"/>
                  <w:tcBorders>
                    <w:top w:val="single" w:color="auto" w:sz="4" w:space="0"/>
                  </w:tcBorders>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sz w:val="21"/>
                      <w:szCs w:val="21"/>
                    </w:rPr>
                    <w:t>50</w:t>
                  </w:r>
                </w:p>
              </w:tc>
              <w:tc>
                <w:tcPr>
                  <w:tcW w:w="2195" w:type="dxa"/>
                  <w:tcBorders>
                    <w:top w:val="single" w:color="auto" w:sz="4" w:space="0"/>
                    <w:righ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1" w:type="dxa"/>
                  <w:tcBorders>
                    <w:left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r>
            <w:bookmarkEnd w:id="0"/>
          </w:tbl>
          <w:p>
            <w:pPr>
              <w:snapToGrid w:val="0"/>
              <w:spacing w:line="500" w:lineRule="exact"/>
              <w:ind w:right="140" w:rightChars="50" w:firstLine="482" w:firstLineChars="200"/>
              <w:rPr>
                <w:rFonts w:eastAsia="宋体"/>
                <w:b/>
                <w:sz w:val="24"/>
                <w:szCs w:val="24"/>
              </w:rPr>
            </w:pPr>
            <w:r>
              <w:rPr>
                <w:rFonts w:eastAsia="宋体"/>
                <w:b/>
                <w:sz w:val="24"/>
                <w:szCs w:val="24"/>
              </w:rPr>
              <w:t>6、产业政策符合性分析</w:t>
            </w:r>
          </w:p>
          <w:p>
            <w:pPr>
              <w:snapToGrid w:val="0"/>
              <w:spacing w:line="500" w:lineRule="exact"/>
              <w:ind w:firstLine="480" w:firstLineChars="200"/>
              <w:rPr>
                <w:rFonts w:eastAsia="宋体"/>
                <w:sz w:val="24"/>
                <w:szCs w:val="24"/>
              </w:rPr>
            </w:pPr>
            <w:r>
              <w:rPr>
                <w:rFonts w:eastAsia="宋体"/>
                <w:sz w:val="24"/>
                <w:szCs w:val="24"/>
              </w:rPr>
              <w:t>本项目属于机动车燃料零售业，对照《产业结构调整指导目录（2019年本）》、《江苏省工业和信息产业结构调整指导目录（2012年本）》及其部分修改条目，不属于其中的鼓励类、淘汰类、限制类，为允许类。因此项目的建设符合国家及地方的产业政策。</w:t>
            </w:r>
          </w:p>
          <w:p>
            <w:pPr>
              <w:snapToGrid w:val="0"/>
              <w:spacing w:line="500" w:lineRule="exact"/>
              <w:ind w:right="140" w:rightChars="50" w:firstLine="482" w:firstLineChars="200"/>
              <w:rPr>
                <w:rFonts w:eastAsia="宋体"/>
                <w:b/>
                <w:sz w:val="24"/>
                <w:szCs w:val="24"/>
              </w:rPr>
            </w:pPr>
            <w:r>
              <w:rPr>
                <w:rFonts w:eastAsia="宋体"/>
                <w:b/>
                <w:sz w:val="24"/>
                <w:szCs w:val="24"/>
              </w:rPr>
              <w:t>7、选址及平面布置合理性分析</w:t>
            </w:r>
          </w:p>
          <w:p>
            <w:pPr>
              <w:snapToGrid w:val="0"/>
              <w:spacing w:line="500" w:lineRule="exact"/>
              <w:ind w:right="140" w:rightChars="50" w:firstLine="470" w:firstLineChars="196"/>
              <w:rPr>
                <w:rFonts w:eastAsia="宋体"/>
                <w:sz w:val="24"/>
                <w:szCs w:val="24"/>
              </w:rPr>
            </w:pPr>
            <w:r>
              <w:rPr>
                <w:rFonts w:eastAsia="宋体"/>
                <w:sz w:val="24"/>
                <w:szCs w:val="24"/>
              </w:rPr>
              <w:t>（1）选址合理性分析</w:t>
            </w:r>
          </w:p>
          <w:p>
            <w:pPr>
              <w:snapToGrid w:val="0"/>
              <w:spacing w:line="500" w:lineRule="exact"/>
              <w:ind w:right="140" w:rightChars="50" w:firstLine="470" w:firstLineChars="196"/>
              <w:rPr>
                <w:rFonts w:eastAsia="宋体"/>
                <w:sz w:val="24"/>
                <w:szCs w:val="24"/>
              </w:rPr>
            </w:pPr>
            <w:r>
              <w:rPr>
                <w:rFonts w:eastAsia="宋体"/>
                <w:sz w:val="24"/>
                <w:szCs w:val="24"/>
              </w:rPr>
              <w:t>本项目选址于</w:t>
            </w:r>
            <w:r>
              <w:rPr>
                <w:rFonts w:hint="eastAsia" w:eastAsia="宋体"/>
                <w:sz w:val="24"/>
                <w:szCs w:val="24"/>
              </w:rPr>
              <w:t>宿迁市沭阳县台州路东侧与京沪高速交叉口南侧</w:t>
            </w:r>
            <w:r>
              <w:rPr>
                <w:rFonts w:eastAsia="宋体"/>
                <w:sz w:val="24"/>
                <w:szCs w:val="24"/>
              </w:rPr>
              <w:t>处，项目所在地属于</w:t>
            </w:r>
            <w:r>
              <w:rPr>
                <w:rFonts w:hint="eastAsia" w:eastAsia="宋体"/>
                <w:sz w:val="24"/>
                <w:szCs w:val="24"/>
              </w:rPr>
              <w:t>商业</w:t>
            </w:r>
            <w:r>
              <w:rPr>
                <w:rFonts w:eastAsia="宋体"/>
                <w:sz w:val="24"/>
                <w:szCs w:val="24"/>
              </w:rPr>
              <w:t>用地，</w:t>
            </w:r>
            <w:r>
              <w:rPr>
                <w:rFonts w:hint="eastAsia" w:eastAsia="宋体"/>
                <w:sz w:val="24"/>
                <w:szCs w:val="24"/>
              </w:rPr>
              <w:t>已于2009年2月3日取得江苏省经济贸易委员会批准的苏经贸商政【2009】68号备案。</w:t>
            </w:r>
            <w:r>
              <w:rPr>
                <w:rFonts w:eastAsia="宋体"/>
                <w:sz w:val="24"/>
                <w:szCs w:val="24"/>
              </w:rPr>
              <w:t>因此本项目符合用地规划</w:t>
            </w:r>
            <w:r>
              <w:rPr>
                <w:rFonts w:hint="eastAsia" w:eastAsia="宋体"/>
                <w:sz w:val="24"/>
                <w:szCs w:val="24"/>
              </w:rPr>
              <w:t>，用地土地证见附件5，江苏省经济贸易委员会文件见附件6</w:t>
            </w:r>
            <w:r>
              <w:rPr>
                <w:rFonts w:eastAsia="宋体"/>
                <w:sz w:val="24"/>
                <w:szCs w:val="24"/>
              </w:rPr>
              <w:t>。</w:t>
            </w:r>
          </w:p>
          <w:p>
            <w:pPr>
              <w:snapToGrid w:val="0"/>
              <w:spacing w:line="500" w:lineRule="exact"/>
              <w:ind w:right="140" w:rightChars="50" w:firstLine="470" w:firstLineChars="196"/>
              <w:rPr>
                <w:rFonts w:eastAsia="宋体"/>
                <w:sz w:val="24"/>
                <w:szCs w:val="24"/>
              </w:rPr>
            </w:pPr>
            <w:r>
              <w:rPr>
                <w:rFonts w:eastAsia="宋体"/>
                <w:sz w:val="24"/>
                <w:szCs w:val="24"/>
              </w:rPr>
              <w:t>根据《汽车加油加气站设计与施工规范》（GB50156-2012，2014年修订版），本项目属于</w:t>
            </w:r>
            <w:r>
              <w:rPr>
                <w:rFonts w:hint="eastAsia" w:eastAsia="宋体"/>
                <w:sz w:val="24"/>
                <w:szCs w:val="24"/>
              </w:rPr>
              <w:t>二</w:t>
            </w:r>
            <w:r>
              <w:rPr>
                <w:rFonts w:eastAsia="宋体"/>
                <w:sz w:val="24"/>
                <w:szCs w:val="24"/>
              </w:rPr>
              <w:t>级加油站，本项目选址与规范中加油站选址标准对比情况见表1-7。</w:t>
            </w:r>
          </w:p>
          <w:p>
            <w:pPr>
              <w:snapToGrid w:val="0"/>
              <w:spacing w:line="500" w:lineRule="exact"/>
              <w:ind w:firstLine="482" w:firstLineChars="200"/>
              <w:jc w:val="center"/>
              <w:rPr>
                <w:rFonts w:eastAsia="宋体"/>
                <w:b/>
                <w:sz w:val="24"/>
                <w:szCs w:val="24"/>
              </w:rPr>
            </w:pPr>
            <w:r>
              <w:rPr>
                <w:rFonts w:eastAsia="宋体"/>
                <w:b/>
                <w:sz w:val="24"/>
                <w:szCs w:val="24"/>
              </w:rPr>
              <w:t>表1-7 本项目选址与标准对比情况</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867"/>
              <w:gridCol w:w="3276"/>
              <w:gridCol w:w="1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标准要求</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本项目实际情况</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应符合城镇规划、环保和防火安全的要求，并选在交通便利的地方</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本项目符合</w:t>
                  </w:r>
                  <w:r>
                    <w:rPr>
                      <w:rFonts w:hint="eastAsia" w:eastAsia="宋体"/>
                      <w:sz w:val="21"/>
                      <w:szCs w:val="21"/>
                    </w:rPr>
                    <w:t>沭阳县</w:t>
                  </w:r>
                  <w:r>
                    <w:rPr>
                      <w:rFonts w:eastAsia="宋体"/>
                      <w:sz w:val="21"/>
                      <w:szCs w:val="21"/>
                    </w:rPr>
                    <w:t>总体规划、环保和防火安全的要求，交通便利</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在城市建成区不宜建一级加油站</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本加油站</w:t>
                  </w:r>
                  <w:r>
                    <w:rPr>
                      <w:rFonts w:eastAsia="宋体"/>
                      <w:sz w:val="21"/>
                      <w:szCs w:val="21"/>
                    </w:rPr>
                    <w:t>为</w:t>
                  </w:r>
                  <w:r>
                    <w:rPr>
                      <w:rFonts w:hint="eastAsia" w:eastAsia="宋体"/>
                      <w:sz w:val="21"/>
                      <w:szCs w:val="21"/>
                    </w:rPr>
                    <w:t>二</w:t>
                  </w:r>
                  <w:r>
                    <w:rPr>
                      <w:rFonts w:eastAsia="宋体"/>
                      <w:sz w:val="21"/>
                      <w:szCs w:val="21"/>
                    </w:rPr>
                    <w:t>级加油站</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城市建成区内的加油加气站，宜靠近城市道路，但不宜选在城市干道的交叉路口附近。</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本站靠近</w:t>
                  </w:r>
                  <w:r>
                    <w:rPr>
                      <w:rFonts w:hint="eastAsia" w:eastAsia="宋体"/>
                      <w:sz w:val="21"/>
                      <w:szCs w:val="21"/>
                    </w:rPr>
                    <w:t>台州北路</w:t>
                  </w:r>
                  <w:r>
                    <w:rPr>
                      <w:rFonts w:eastAsia="宋体"/>
                      <w:sz w:val="21"/>
                      <w:szCs w:val="21"/>
                    </w:rPr>
                    <w:t>，不在城市干道的交叉路口</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386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加油站的油罐、加油机和通气管道管口与站外建、构筑物的防火距离，不应小于《汽车加油加气站设计与施工规范》表4.0.4和表4.0.5的规定</w:t>
                  </w:r>
                </w:p>
              </w:tc>
              <w:tc>
                <w:tcPr>
                  <w:tcW w:w="3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详见表1-2</w:t>
                  </w:r>
                </w:p>
              </w:tc>
              <w:tc>
                <w:tcPr>
                  <w:tcW w:w="107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bl>
          <w:p>
            <w:pPr>
              <w:snapToGrid w:val="0"/>
              <w:spacing w:line="500" w:lineRule="exact"/>
              <w:ind w:right="140" w:rightChars="50" w:firstLine="470" w:firstLineChars="196"/>
              <w:rPr>
                <w:rFonts w:eastAsia="宋体"/>
                <w:sz w:val="24"/>
                <w:szCs w:val="24"/>
              </w:rPr>
            </w:pPr>
            <w:r>
              <w:rPr>
                <w:rFonts w:eastAsia="宋体"/>
                <w:sz w:val="24"/>
                <w:szCs w:val="24"/>
              </w:rPr>
              <w:t>（2）布局合理性分析</w:t>
            </w:r>
          </w:p>
          <w:p>
            <w:pPr>
              <w:snapToGrid w:val="0"/>
              <w:spacing w:line="500" w:lineRule="exact"/>
              <w:ind w:right="140" w:rightChars="50" w:firstLine="470" w:firstLineChars="196"/>
              <w:rPr>
                <w:rFonts w:eastAsia="宋体"/>
                <w:color w:val="FF0000"/>
                <w:sz w:val="24"/>
                <w:szCs w:val="24"/>
              </w:rPr>
            </w:pPr>
            <w:r>
              <w:rPr>
                <w:rFonts w:eastAsia="宋体"/>
                <w:sz w:val="24"/>
                <w:szCs w:val="24"/>
              </w:rPr>
              <w:t>本项目属于</w:t>
            </w:r>
            <w:r>
              <w:rPr>
                <w:rFonts w:hint="eastAsia" w:eastAsia="宋体"/>
                <w:sz w:val="24"/>
                <w:szCs w:val="24"/>
              </w:rPr>
              <w:t>二</w:t>
            </w:r>
            <w:r>
              <w:rPr>
                <w:rFonts w:eastAsia="宋体"/>
                <w:sz w:val="24"/>
                <w:szCs w:val="24"/>
              </w:rPr>
              <w:t>级站，</w:t>
            </w:r>
            <w:r>
              <w:rPr>
                <w:rFonts w:eastAsia="宋体"/>
                <w:bCs/>
                <w:sz w:val="24"/>
                <w:szCs w:val="24"/>
              </w:rPr>
              <w:t>按功能可分为加油区、</w:t>
            </w:r>
            <w:r>
              <w:rPr>
                <w:rFonts w:eastAsia="宋体"/>
                <w:bCs/>
                <w:color w:val="000000"/>
                <w:sz w:val="24"/>
                <w:szCs w:val="24"/>
              </w:rPr>
              <w:t>储油区</w:t>
            </w:r>
            <w:r>
              <w:rPr>
                <w:rFonts w:eastAsia="宋体"/>
                <w:bCs/>
                <w:sz w:val="24"/>
                <w:szCs w:val="24"/>
              </w:rPr>
              <w:t>及其他服务设施。项目地下储油区位于厂区</w:t>
            </w:r>
            <w:r>
              <w:rPr>
                <w:rFonts w:hint="eastAsia" w:eastAsia="宋体"/>
                <w:bCs/>
                <w:sz w:val="24"/>
                <w:szCs w:val="24"/>
              </w:rPr>
              <w:t>东北</w:t>
            </w:r>
            <w:r>
              <w:rPr>
                <w:rFonts w:eastAsia="宋体"/>
                <w:bCs/>
                <w:sz w:val="24"/>
                <w:szCs w:val="24"/>
              </w:rPr>
              <w:t>侧，加油罩棚位于场地中间，站房位于厂区</w:t>
            </w:r>
            <w:r>
              <w:rPr>
                <w:rFonts w:hint="eastAsia" w:eastAsia="宋体"/>
                <w:bCs/>
                <w:sz w:val="24"/>
                <w:szCs w:val="24"/>
              </w:rPr>
              <w:t>东</w:t>
            </w:r>
            <w:r>
              <w:rPr>
                <w:rFonts w:eastAsia="宋体"/>
                <w:bCs/>
                <w:sz w:val="24"/>
                <w:szCs w:val="24"/>
              </w:rPr>
              <w:t>侧，</w:t>
            </w:r>
            <w:r>
              <w:rPr>
                <w:rFonts w:hint="eastAsia" w:eastAsia="宋体"/>
                <w:bCs/>
                <w:sz w:val="24"/>
                <w:szCs w:val="24"/>
              </w:rPr>
              <w:t>西</w:t>
            </w:r>
            <w:r>
              <w:rPr>
                <w:rFonts w:eastAsia="宋体"/>
                <w:bCs/>
                <w:sz w:val="24"/>
                <w:szCs w:val="24"/>
              </w:rPr>
              <w:t>侧临近</w:t>
            </w:r>
            <w:r>
              <w:rPr>
                <w:rFonts w:hint="eastAsia" w:eastAsia="宋体"/>
                <w:bCs/>
                <w:sz w:val="24"/>
                <w:szCs w:val="24"/>
              </w:rPr>
              <w:t>台州北路</w:t>
            </w:r>
            <w:r>
              <w:rPr>
                <w:rFonts w:eastAsia="宋体"/>
                <w:bCs/>
                <w:sz w:val="24"/>
                <w:szCs w:val="24"/>
              </w:rPr>
              <w:t>设置</w:t>
            </w:r>
            <w:r>
              <w:rPr>
                <w:rFonts w:hint="eastAsia" w:eastAsia="宋体"/>
                <w:bCs/>
                <w:sz w:val="24"/>
                <w:szCs w:val="24"/>
              </w:rPr>
              <w:t>入</w:t>
            </w:r>
            <w:r>
              <w:rPr>
                <w:rFonts w:eastAsia="宋体"/>
                <w:bCs/>
                <w:sz w:val="24"/>
                <w:szCs w:val="24"/>
              </w:rPr>
              <w:t>口</w:t>
            </w:r>
            <w:r>
              <w:rPr>
                <w:rFonts w:hint="eastAsia" w:eastAsia="宋体"/>
                <w:bCs/>
                <w:sz w:val="24"/>
                <w:szCs w:val="24"/>
              </w:rPr>
              <w:t>，北侧临近京沪高速设置出</w:t>
            </w:r>
            <w:r>
              <w:rPr>
                <w:rFonts w:eastAsia="宋体"/>
                <w:bCs/>
                <w:sz w:val="24"/>
                <w:szCs w:val="24"/>
              </w:rPr>
              <w:t>口。</w:t>
            </w:r>
            <w:r>
              <w:rPr>
                <w:rFonts w:hint="eastAsia" w:eastAsia="宋体"/>
                <w:bCs/>
                <w:sz w:val="24"/>
                <w:szCs w:val="24"/>
                <w:lang w:eastAsia="zh-CN"/>
              </w:rPr>
              <w:t>本项目已于</w:t>
            </w:r>
            <w:r>
              <w:rPr>
                <w:rFonts w:hint="eastAsia" w:eastAsia="宋体"/>
                <w:bCs/>
                <w:sz w:val="24"/>
                <w:szCs w:val="24"/>
                <w:lang w:val="en-US" w:eastAsia="zh-CN"/>
              </w:rPr>
              <w:t>2011年1月27日通过消防验收（文号：宿公消验【2011】第0022号），建筑工程消防验收意见书附后，因此本设备汽油、柴油设备与站外</w:t>
            </w:r>
            <w:r>
              <w:rPr>
                <w:rFonts w:eastAsia="宋体"/>
                <w:sz w:val="24"/>
                <w:szCs w:val="24"/>
              </w:rPr>
              <w:t>有汽油卸油及加油油气回收系统。项目设备与站外</w:t>
            </w:r>
            <w:r>
              <w:rPr>
                <w:rFonts w:eastAsia="宋体"/>
                <w:bCs/>
                <w:sz w:val="24"/>
                <w:szCs w:val="24"/>
              </w:rPr>
              <w:t>建（构）筑物的安全间距符合</w:t>
            </w:r>
            <w:r>
              <w:rPr>
                <w:rFonts w:hint="eastAsia" w:eastAsia="宋体"/>
                <w:bCs/>
                <w:sz w:val="24"/>
                <w:szCs w:val="24"/>
                <w:lang w:eastAsia="zh-CN"/>
              </w:rPr>
              <w:t>（</w:t>
            </w:r>
            <w:r>
              <w:rPr>
                <w:rFonts w:eastAsia="宋体"/>
                <w:bCs/>
                <w:sz w:val="24"/>
                <w:szCs w:val="24"/>
              </w:rPr>
              <w:t>GB50156-2012</w:t>
            </w:r>
            <w:r>
              <w:rPr>
                <w:rFonts w:hint="eastAsia" w:eastAsia="宋体"/>
                <w:bCs/>
                <w:sz w:val="24"/>
                <w:szCs w:val="24"/>
                <w:lang w:eastAsia="zh-CN"/>
              </w:rPr>
              <w:t>）（</w:t>
            </w:r>
            <w:r>
              <w:rPr>
                <w:rFonts w:hint="eastAsia" w:eastAsia="宋体"/>
                <w:bCs/>
                <w:sz w:val="24"/>
                <w:szCs w:val="24"/>
                <w:lang w:val="en-US" w:eastAsia="zh-CN"/>
              </w:rPr>
              <w:t>2014年修订</w:t>
            </w:r>
            <w:r>
              <w:rPr>
                <w:rFonts w:hint="eastAsia" w:eastAsia="宋体"/>
                <w:bCs/>
                <w:sz w:val="24"/>
                <w:szCs w:val="24"/>
                <w:lang w:eastAsia="zh-CN"/>
              </w:rPr>
              <w:t>）和《建筑设计防火规范》（</w:t>
            </w:r>
            <w:r>
              <w:rPr>
                <w:rFonts w:hint="eastAsia" w:eastAsia="宋体"/>
                <w:bCs/>
                <w:sz w:val="24"/>
                <w:szCs w:val="24"/>
                <w:lang w:val="en-US" w:eastAsia="zh-CN"/>
              </w:rPr>
              <w:t>GB50016-2014</w:t>
            </w:r>
            <w:r>
              <w:rPr>
                <w:rFonts w:hint="eastAsia" w:eastAsia="宋体"/>
                <w:bCs/>
                <w:sz w:val="24"/>
                <w:szCs w:val="24"/>
                <w:lang w:eastAsia="zh-CN"/>
              </w:rPr>
              <w:t>）（</w:t>
            </w:r>
            <w:r>
              <w:rPr>
                <w:rFonts w:hint="eastAsia" w:eastAsia="宋体"/>
                <w:bCs/>
                <w:sz w:val="24"/>
                <w:szCs w:val="24"/>
                <w:lang w:val="en-US" w:eastAsia="zh-CN"/>
              </w:rPr>
              <w:t>2018年修订</w:t>
            </w:r>
            <w:r>
              <w:rPr>
                <w:rFonts w:hint="eastAsia" w:eastAsia="宋体"/>
                <w:bCs/>
                <w:sz w:val="24"/>
                <w:szCs w:val="24"/>
                <w:lang w:eastAsia="zh-CN"/>
              </w:rPr>
              <w:t>）</w:t>
            </w:r>
            <w:r>
              <w:rPr>
                <w:rFonts w:eastAsia="宋体"/>
                <w:bCs/>
                <w:sz w:val="24"/>
                <w:szCs w:val="24"/>
              </w:rPr>
              <w:t>相关要求</w:t>
            </w:r>
            <w:r>
              <w:rPr>
                <w:rFonts w:hint="eastAsia" w:eastAsia="宋体"/>
                <w:bCs/>
                <w:sz w:val="24"/>
                <w:szCs w:val="24"/>
                <w:lang w:eastAsia="zh-CN"/>
              </w:rPr>
              <w:t>，平面布局合理</w:t>
            </w:r>
            <w:r>
              <w:rPr>
                <w:rFonts w:eastAsia="宋体"/>
                <w:bCs/>
                <w:sz w:val="24"/>
                <w:szCs w:val="24"/>
              </w:rPr>
              <w:t>。</w:t>
            </w:r>
          </w:p>
          <w:p>
            <w:pPr>
              <w:snapToGrid w:val="0"/>
              <w:spacing w:line="500" w:lineRule="exact"/>
              <w:ind w:right="140" w:rightChars="50" w:firstLine="470" w:firstLineChars="196"/>
              <w:rPr>
                <w:rFonts w:eastAsia="宋体"/>
                <w:sz w:val="24"/>
                <w:szCs w:val="24"/>
              </w:rPr>
            </w:pPr>
            <w:r>
              <w:rPr>
                <w:rFonts w:eastAsia="宋体"/>
                <w:sz w:val="24"/>
                <w:szCs w:val="24"/>
              </w:rPr>
              <w:t>（3）其他与GB50156-2012符合性分析</w:t>
            </w:r>
          </w:p>
          <w:p>
            <w:pPr>
              <w:snapToGrid w:val="0"/>
              <w:spacing w:line="500" w:lineRule="exact"/>
              <w:ind w:right="140" w:rightChars="50" w:firstLine="470" w:firstLineChars="196"/>
              <w:rPr>
                <w:rFonts w:eastAsia="宋体"/>
                <w:sz w:val="24"/>
                <w:szCs w:val="24"/>
              </w:rPr>
            </w:pPr>
            <w:r>
              <w:rPr>
                <w:rFonts w:eastAsia="宋体"/>
                <w:sz w:val="24"/>
                <w:szCs w:val="24"/>
              </w:rPr>
              <w:t>本项目汽油及柴油储罐采用卧式地埋式SF双层钢制储罐，油罐单个容积最大为30m</w:t>
            </w:r>
            <w:r>
              <w:rPr>
                <w:rFonts w:eastAsia="宋体"/>
                <w:sz w:val="24"/>
                <w:szCs w:val="24"/>
                <w:vertAlign w:val="superscript"/>
              </w:rPr>
              <w:t>3</w:t>
            </w:r>
            <w:r>
              <w:rPr>
                <w:rFonts w:eastAsia="宋体"/>
                <w:sz w:val="24"/>
                <w:szCs w:val="24"/>
              </w:rPr>
              <w:t>，满足《汽车加油加气站设计与施工规范》（GB50156-2012）（2014年修订版）“当油罐总容积大于90m</w:t>
            </w:r>
            <w:r>
              <w:rPr>
                <w:rFonts w:eastAsia="宋体"/>
                <w:sz w:val="24"/>
                <w:szCs w:val="24"/>
                <w:vertAlign w:val="superscript"/>
              </w:rPr>
              <w:t>3</w:t>
            </w:r>
            <w:r>
              <w:rPr>
                <w:rFonts w:eastAsia="宋体"/>
                <w:sz w:val="24"/>
                <w:szCs w:val="24"/>
              </w:rPr>
              <w:t>时，油罐单罐容积不应大于50m</w:t>
            </w:r>
            <w:r>
              <w:rPr>
                <w:rFonts w:eastAsia="宋体"/>
                <w:sz w:val="24"/>
                <w:szCs w:val="24"/>
                <w:vertAlign w:val="superscript"/>
              </w:rPr>
              <w:t>3</w:t>
            </w:r>
            <w:r>
              <w:rPr>
                <w:rFonts w:eastAsia="宋体"/>
                <w:sz w:val="24"/>
                <w:szCs w:val="24"/>
              </w:rPr>
              <w:t>；当油罐总容积小于或等于90 m</w:t>
            </w:r>
            <w:r>
              <w:rPr>
                <w:rFonts w:eastAsia="宋体"/>
                <w:sz w:val="24"/>
                <w:szCs w:val="24"/>
                <w:vertAlign w:val="superscript"/>
              </w:rPr>
              <w:t>3</w:t>
            </w:r>
            <w:r>
              <w:rPr>
                <w:rFonts w:eastAsia="宋体"/>
                <w:sz w:val="24"/>
                <w:szCs w:val="24"/>
              </w:rPr>
              <w:t>时，汽油罐单罐容积不应大于30 m</w:t>
            </w:r>
            <w:r>
              <w:rPr>
                <w:rFonts w:eastAsia="宋体"/>
                <w:sz w:val="24"/>
                <w:szCs w:val="24"/>
                <w:vertAlign w:val="superscript"/>
              </w:rPr>
              <w:t>3</w:t>
            </w:r>
            <w:r>
              <w:rPr>
                <w:rFonts w:eastAsia="宋体"/>
                <w:sz w:val="24"/>
                <w:szCs w:val="24"/>
              </w:rPr>
              <w:t>，柴油罐单罐容积不应大于50m</w:t>
            </w:r>
            <w:r>
              <w:rPr>
                <w:rFonts w:eastAsia="宋体"/>
                <w:sz w:val="24"/>
                <w:szCs w:val="24"/>
                <w:vertAlign w:val="superscript"/>
              </w:rPr>
              <w:t>3</w:t>
            </w:r>
            <w:r>
              <w:rPr>
                <w:rFonts w:eastAsia="宋体"/>
                <w:sz w:val="24"/>
                <w:szCs w:val="24"/>
              </w:rPr>
              <w:t>”的规定。本项目油罐采用玻璃钢钢制卧式油罐，所采用的储罐符合国家现行标准《钢制压力容器》GB150、《低温绝热压力容器》GB18442和《固定式压力容器安全技术监察规程》TSGR0004的有关规定。</w:t>
            </w:r>
          </w:p>
          <w:p>
            <w:pPr>
              <w:snapToGrid w:val="0"/>
              <w:spacing w:line="500" w:lineRule="exact"/>
              <w:ind w:right="140" w:rightChars="50" w:firstLine="470" w:firstLineChars="196"/>
              <w:rPr>
                <w:rFonts w:eastAsia="宋体"/>
                <w:sz w:val="24"/>
                <w:szCs w:val="24"/>
              </w:rPr>
            </w:pPr>
            <w:r>
              <w:rPr>
                <w:rFonts w:eastAsia="宋体"/>
                <w:sz w:val="24"/>
                <w:szCs w:val="24"/>
              </w:rPr>
              <w:t>本站埋地汽、柴油储罐选用SF双层罐，符合《加油站地下水污染防治技术指南（试行）》中的规定，双层玻璃钢油罐的罐体结构设计符合行业标准《钢制常压储罐 第一部分：储存对水有污染的易燃和不易燃液体的埋地卧式圆筒形单层和双层储罐》（AQ 3020）的相关规定，油罐外表面防腐设计符合现行行业标准《石油化工设备和管道涂料防腐蚀技术规范》（SH 3022）中的有关规定，且防腐等级不低于加强级。</w:t>
            </w:r>
          </w:p>
          <w:p>
            <w:pPr>
              <w:snapToGrid w:val="0"/>
              <w:spacing w:line="500" w:lineRule="exact"/>
              <w:ind w:right="140" w:rightChars="50" w:firstLine="470" w:firstLineChars="196"/>
              <w:rPr>
                <w:rFonts w:eastAsia="宋体"/>
                <w:sz w:val="24"/>
                <w:szCs w:val="24"/>
              </w:rPr>
            </w:pPr>
            <w:r>
              <w:rPr>
                <w:rFonts w:eastAsia="宋体"/>
                <w:sz w:val="24"/>
                <w:szCs w:val="24"/>
              </w:rPr>
              <w:t>本项目埋地加油管道采用双层管道，设计要求符合《汽车加油加气站设计与施工规范》（GB50156-2012，2014年修订版）。</w:t>
            </w:r>
          </w:p>
          <w:p>
            <w:pPr>
              <w:spacing w:line="480" w:lineRule="exact"/>
              <w:ind w:firstLine="482" w:firstLineChars="200"/>
              <w:rPr>
                <w:rFonts w:eastAsia="宋体"/>
                <w:b/>
                <w:sz w:val="24"/>
                <w:szCs w:val="24"/>
              </w:rPr>
            </w:pPr>
            <w:r>
              <w:rPr>
                <w:rFonts w:eastAsia="宋体"/>
                <w:b/>
                <w:sz w:val="24"/>
                <w:szCs w:val="24"/>
              </w:rPr>
              <w:t>10、与《重点行业挥发性有机物综合治理方案》相符性分析</w:t>
            </w:r>
          </w:p>
          <w:p>
            <w:pPr>
              <w:snapToGrid w:val="0"/>
              <w:spacing w:line="500" w:lineRule="exact"/>
              <w:ind w:right="140" w:rightChars="50" w:firstLine="470" w:firstLineChars="196"/>
              <w:rPr>
                <w:rFonts w:eastAsia="宋体"/>
                <w:sz w:val="24"/>
                <w:szCs w:val="24"/>
              </w:rPr>
            </w:pPr>
            <w:r>
              <w:rPr>
                <w:rFonts w:eastAsia="宋体"/>
                <w:sz w:val="24"/>
                <w:szCs w:val="24"/>
              </w:rPr>
              <w:t>生态环境部于2019年6月26日发布了《关于印发〈重点行业挥发性有机物综合治理方案〉的通知》（环大气[2019]53号），重点行业治理任务第五条对油品储运销VOCs综合治理提出了具体要求。本项目与治理方案相符性分析见表1-</w:t>
            </w:r>
            <w:r>
              <w:rPr>
                <w:rFonts w:hint="eastAsia" w:eastAsia="宋体"/>
                <w:sz w:val="24"/>
                <w:szCs w:val="24"/>
                <w:lang w:val="en-US" w:eastAsia="zh-CN"/>
              </w:rPr>
              <w:t>8</w:t>
            </w:r>
            <w:r>
              <w:rPr>
                <w:rFonts w:eastAsia="宋体"/>
                <w:sz w:val="24"/>
                <w:szCs w:val="24"/>
              </w:rPr>
              <w:t>。</w:t>
            </w:r>
          </w:p>
          <w:p>
            <w:pPr>
              <w:snapToGrid w:val="0"/>
              <w:spacing w:line="500" w:lineRule="exact"/>
              <w:ind w:right="140" w:rightChars="50" w:firstLine="472" w:firstLineChars="196"/>
              <w:jc w:val="center"/>
              <w:rPr>
                <w:rFonts w:eastAsia="宋体"/>
                <w:b/>
                <w:color w:val="FF0000"/>
                <w:sz w:val="24"/>
                <w:szCs w:val="24"/>
              </w:rPr>
            </w:pPr>
            <w:r>
              <w:rPr>
                <w:rFonts w:eastAsia="宋体"/>
                <w:b/>
                <w:sz w:val="24"/>
                <w:szCs w:val="24"/>
              </w:rPr>
              <w:t>表1-</w:t>
            </w:r>
            <w:r>
              <w:rPr>
                <w:rFonts w:hint="eastAsia" w:eastAsia="宋体"/>
                <w:b/>
                <w:sz w:val="24"/>
                <w:szCs w:val="24"/>
                <w:lang w:val="en-US" w:eastAsia="zh-CN"/>
              </w:rPr>
              <w:t>8</w:t>
            </w:r>
            <w:r>
              <w:rPr>
                <w:rFonts w:eastAsia="宋体"/>
                <w:b/>
                <w:sz w:val="24"/>
                <w:szCs w:val="24"/>
              </w:rPr>
              <w:t xml:space="preserve"> 《重点行业挥发性有机物综合治理方案》相符性分析</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835"/>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加油站相关综合治理方案要求</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本站情况</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b/>
                      <w:sz w:val="21"/>
                      <w:szCs w:val="21"/>
                    </w:rPr>
                  </w:pPr>
                  <w:r>
                    <w:rPr>
                      <w:rFonts w:eastAsia="宋体"/>
                      <w:b/>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加大汽油（含乙醇汽油）、石脑油、煤油（含航空煤油）以及原油等VOCs排放控制，重点推进加油站、油罐车、储油库油气回收治理。</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本项目加油站汽油卸油、加油已采取汽油油气回收系统</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深化加油站油气回收工作。O</w:t>
                  </w:r>
                  <w:r>
                    <w:rPr>
                      <w:rFonts w:eastAsia="宋体"/>
                      <w:sz w:val="21"/>
                      <w:szCs w:val="21"/>
                      <w:vertAlign w:val="subscript"/>
                    </w:rPr>
                    <w:t>3</w:t>
                  </w:r>
                  <w:r>
                    <w:rPr>
                      <w:rFonts w:eastAsia="宋体"/>
                      <w:sz w:val="21"/>
                      <w:szCs w:val="21"/>
                    </w:rPr>
                    <w:t>污染较重的地区，行政区域内大力推进加油站储油、加油油气回收治理工作，重点区域2019年年底前基本完成。</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本项目位于江苏省宿迁市，属于重点区域。目前站内已完成加油站储油、加油油气回收治理工作。</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埋地油罐全面采用电子液位仪进行汽油密闭测量。</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已采用电子液位仪进行汽油密闭测量</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03"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规范油气回收设施运行，自行或聘请第三方加强加油枪气液比、系统密闭性及管线液阻等检查，提高检测频次，重点区域原则上每半年开展一次，确保油气回收系统正常运行。</w:t>
                  </w:r>
                </w:p>
              </w:tc>
              <w:tc>
                <w:tcPr>
                  <w:tcW w:w="2835"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企业聘请了第三方检测机构，半年检测一次汽油加油枪气液比、系统密闭性及管线液阻</w:t>
                  </w:r>
                </w:p>
              </w:tc>
              <w:tc>
                <w:tcPr>
                  <w:tcW w:w="1117" w:type="dxa"/>
                  <w:shd w:val="clear" w:color="auto" w:fill="auto"/>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符合</w:t>
                  </w:r>
                </w:p>
              </w:tc>
            </w:tr>
          </w:tbl>
          <w:p>
            <w:pPr>
              <w:snapToGrid w:val="0"/>
              <w:spacing w:line="500" w:lineRule="exact"/>
              <w:ind w:right="140" w:rightChars="50" w:firstLine="470" w:firstLineChars="196"/>
              <w:rPr>
                <w:rFonts w:eastAsia="宋体"/>
                <w:sz w:val="24"/>
                <w:szCs w:val="24"/>
              </w:rPr>
            </w:pPr>
            <w:r>
              <w:rPr>
                <w:rFonts w:eastAsia="宋体"/>
                <w:sz w:val="24"/>
                <w:szCs w:val="24"/>
              </w:rPr>
              <w:t>根据上表分析，本项目加油站已落实《重点行业挥发性有机物综合治理方案》中提出的各项针对加油站的综合治理措施。</w:t>
            </w:r>
          </w:p>
          <w:p>
            <w:pPr>
              <w:snapToGrid w:val="0"/>
              <w:spacing w:line="500" w:lineRule="exact"/>
              <w:ind w:right="140" w:rightChars="50" w:firstLine="470" w:firstLineChars="196"/>
              <w:rPr>
                <w:rFonts w:eastAsia="宋体"/>
                <w:sz w:val="24"/>
                <w:szCs w:val="24"/>
              </w:rPr>
            </w:pPr>
            <w:r>
              <w:rPr>
                <w:rFonts w:eastAsia="宋体"/>
                <w:sz w:val="24"/>
                <w:szCs w:val="24"/>
              </w:rPr>
              <w:t>加油站应根据《重点行业挥发性有机物综合治理方案》中“附件3 中VOCs 治理台帐记录要求”中“加油站”项进一步完善日常台帐记录工作，日常管理检查时根据“附件4 油品储运销VOCs 治理检查要点”中“加油站”项完善日常检查工作。</w:t>
            </w:r>
          </w:p>
          <w:p>
            <w:pPr>
              <w:spacing w:line="480" w:lineRule="exact"/>
              <w:ind w:firstLine="482" w:firstLineChars="200"/>
              <w:rPr>
                <w:rFonts w:eastAsia="宋体"/>
                <w:b/>
                <w:sz w:val="24"/>
                <w:szCs w:val="24"/>
              </w:rPr>
            </w:pPr>
            <w:r>
              <w:rPr>
                <w:rFonts w:eastAsia="宋体"/>
                <w:b/>
                <w:sz w:val="24"/>
                <w:szCs w:val="24"/>
              </w:rPr>
              <w:t>11、“三线一单”相符性分析</w:t>
            </w:r>
          </w:p>
          <w:p>
            <w:pPr>
              <w:snapToGrid w:val="0"/>
              <w:spacing w:line="500" w:lineRule="exact"/>
              <w:ind w:right="140" w:rightChars="50" w:firstLine="470" w:firstLineChars="196"/>
              <w:rPr>
                <w:rFonts w:eastAsia="宋体"/>
                <w:sz w:val="24"/>
                <w:szCs w:val="24"/>
              </w:rPr>
            </w:pPr>
            <w:r>
              <w:rPr>
                <w:rFonts w:eastAsia="宋体"/>
                <w:sz w:val="24"/>
                <w:szCs w:val="24"/>
              </w:rPr>
              <w:t>（1）生态红线</w:t>
            </w:r>
          </w:p>
          <w:p>
            <w:pPr>
              <w:adjustRightInd w:val="0"/>
              <w:snapToGrid w:val="0"/>
              <w:ind w:firstLine="480" w:firstLineChars="200"/>
              <w:rPr>
                <w:rFonts w:eastAsia="宋体"/>
                <w:sz w:val="24"/>
                <w:szCs w:val="24"/>
              </w:rPr>
            </w:pPr>
            <w:r>
              <w:rPr>
                <w:rFonts w:eastAsia="宋体"/>
                <w:sz w:val="24"/>
                <w:szCs w:val="24"/>
              </w:rPr>
              <w:t xml:space="preserve"> 根据《省政府关于印发江苏省生态空间管控区域规划的通知》（苏政发〔2020〕1号），全省陆域共划定15大类811块生态空间保护区域，并实行分级管理（分为国家级生态保护红线、生态空间管控区域2级）。国家级生态保护红线原则上按禁止开发区域的要求进行管理，严禁不符合主体功能定位的各类开发活动，严禁任意改变用途。生态空间管控区域以生态保护为重点，原则上不得开展有损主导生态功能的开发建设活动，不得随意占用和调整。经查该通知附件《生态空间保护区域名录及分布图》，与本项目所在地距离最近的生态空间保护区域为“</w:t>
            </w:r>
            <w:r>
              <w:rPr>
                <w:rFonts w:hint="eastAsia" w:eastAsia="宋体"/>
                <w:sz w:val="24"/>
                <w:szCs w:val="24"/>
              </w:rPr>
              <w:t>新沂河（沭阳县）洪水调蓄区</w:t>
            </w:r>
            <w:r>
              <w:rPr>
                <w:rFonts w:eastAsia="宋体"/>
                <w:sz w:val="24"/>
                <w:szCs w:val="24"/>
              </w:rPr>
              <w:t>”，该区域主导生态功能为</w:t>
            </w:r>
            <w:r>
              <w:rPr>
                <w:rFonts w:hint="eastAsia" w:eastAsia="宋体"/>
                <w:sz w:val="24"/>
                <w:szCs w:val="24"/>
              </w:rPr>
              <w:t>洪水调蓄</w:t>
            </w:r>
            <w:r>
              <w:rPr>
                <w:rFonts w:eastAsia="宋体"/>
                <w:sz w:val="24"/>
                <w:szCs w:val="24"/>
              </w:rPr>
              <w:t>，属于生态空间管控区域。详见表</w:t>
            </w:r>
            <w:r>
              <w:rPr>
                <w:rFonts w:hint="eastAsia" w:eastAsia="宋体"/>
                <w:sz w:val="24"/>
                <w:szCs w:val="24"/>
                <w:lang w:val="en-US" w:eastAsia="zh-CN"/>
              </w:rPr>
              <w:t>1</w:t>
            </w:r>
            <w:r>
              <w:rPr>
                <w:rFonts w:eastAsia="宋体"/>
                <w:sz w:val="24"/>
                <w:szCs w:val="24"/>
              </w:rPr>
              <w:t>-9。</w:t>
            </w:r>
          </w:p>
          <w:p>
            <w:pPr>
              <w:widowControl w:val="0"/>
              <w:adjustRightInd w:val="0"/>
              <w:snapToGrid w:val="0"/>
              <w:ind w:firstLine="482" w:firstLineChars="200"/>
              <w:jc w:val="center"/>
              <w:rPr>
                <w:rFonts w:eastAsia="宋体"/>
                <w:b/>
                <w:bCs/>
                <w:sz w:val="24"/>
                <w:szCs w:val="24"/>
              </w:rPr>
            </w:pPr>
            <w:r>
              <w:rPr>
                <w:rFonts w:eastAsia="宋体"/>
                <w:b/>
                <w:bCs/>
                <w:sz w:val="24"/>
                <w:szCs w:val="24"/>
              </w:rPr>
              <w:t>表1-</w:t>
            </w:r>
            <w:r>
              <w:rPr>
                <w:rFonts w:hint="eastAsia" w:eastAsia="宋体"/>
                <w:b/>
                <w:bCs/>
                <w:sz w:val="24"/>
                <w:szCs w:val="24"/>
                <w:lang w:val="en-US" w:eastAsia="zh-CN"/>
              </w:rPr>
              <w:t>9</w:t>
            </w:r>
            <w:r>
              <w:rPr>
                <w:rFonts w:eastAsia="宋体"/>
                <w:b/>
                <w:bCs/>
                <w:sz w:val="24"/>
                <w:szCs w:val="24"/>
              </w:rPr>
              <w:t xml:space="preserve"> 江苏省陆域生态保护红线区域名录</w:t>
            </w:r>
          </w:p>
          <w:tbl>
            <w:tblPr>
              <w:tblStyle w:val="28"/>
              <w:tblW w:w="923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1280"/>
              <w:gridCol w:w="851"/>
              <w:gridCol w:w="4111"/>
              <w:gridCol w:w="14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09"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市级</w:t>
                  </w:r>
                </w:p>
              </w:tc>
              <w:tc>
                <w:tcPr>
                  <w:tcW w:w="846"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县级</w:t>
                  </w:r>
                </w:p>
              </w:tc>
              <w:tc>
                <w:tcPr>
                  <w:tcW w:w="1280"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名称</w:t>
                  </w:r>
                </w:p>
              </w:tc>
              <w:tc>
                <w:tcPr>
                  <w:tcW w:w="85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类型</w:t>
                  </w:r>
                </w:p>
              </w:tc>
              <w:tc>
                <w:tcPr>
                  <w:tcW w:w="411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地理位置</w:t>
                  </w:r>
                </w:p>
              </w:tc>
              <w:tc>
                <w:tcPr>
                  <w:tcW w:w="1434"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区域面积（平方公里）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宿迁市</w:t>
                  </w:r>
                </w:p>
              </w:tc>
              <w:tc>
                <w:tcPr>
                  <w:tcW w:w="846" w:type="dxa"/>
                  <w:vAlign w:val="center"/>
                </w:tcPr>
                <w:p>
                  <w:pPr>
                    <w:widowControl w:val="0"/>
                    <w:autoSpaceDE w:val="0"/>
                    <w:autoSpaceDN w:val="0"/>
                    <w:adjustRightInd w:val="0"/>
                    <w:spacing w:line="240" w:lineRule="auto"/>
                    <w:jc w:val="center"/>
                    <w:rPr>
                      <w:rFonts w:eastAsia="宋体"/>
                      <w:kern w:val="0"/>
                      <w:sz w:val="21"/>
                      <w:szCs w:val="24"/>
                    </w:rPr>
                  </w:pPr>
                  <w:r>
                    <w:rPr>
                      <w:rFonts w:hint="eastAsia" w:eastAsia="宋体"/>
                      <w:kern w:val="0"/>
                      <w:sz w:val="21"/>
                      <w:szCs w:val="24"/>
                    </w:rPr>
                    <w:t>沭阳县</w:t>
                  </w:r>
                </w:p>
              </w:tc>
              <w:tc>
                <w:tcPr>
                  <w:tcW w:w="1280"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新沂河（沭</w:t>
                  </w:r>
                </w:p>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阳县）洪水</w:t>
                  </w:r>
                </w:p>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调蓄区</w:t>
                  </w:r>
                </w:p>
              </w:tc>
              <w:tc>
                <w:tcPr>
                  <w:tcW w:w="85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洪水调蓄</w:t>
                  </w:r>
                </w:p>
              </w:tc>
              <w:tc>
                <w:tcPr>
                  <w:tcW w:w="4111" w:type="dxa"/>
                  <w:vAlign w:val="center"/>
                </w:tcPr>
                <w:p>
                  <w:pPr>
                    <w:widowControl w:val="0"/>
                    <w:autoSpaceDE w:val="0"/>
                    <w:autoSpaceDN w:val="0"/>
                    <w:adjustRightInd w:val="0"/>
                    <w:spacing w:line="240" w:lineRule="auto"/>
                    <w:jc w:val="center"/>
                    <w:rPr>
                      <w:rFonts w:eastAsia="宋体"/>
                      <w:kern w:val="0"/>
                      <w:sz w:val="21"/>
                      <w:szCs w:val="24"/>
                    </w:rPr>
                  </w:pPr>
                  <w:r>
                    <w:rPr>
                      <w:rFonts w:eastAsia="宋体"/>
                      <w:kern w:val="0"/>
                      <w:sz w:val="21"/>
                      <w:szCs w:val="24"/>
                    </w:rPr>
                    <w:t>新沂河两岸河堤之间的范围</w:t>
                  </w:r>
                </w:p>
              </w:tc>
              <w:tc>
                <w:tcPr>
                  <w:tcW w:w="1434" w:type="dxa"/>
                  <w:vAlign w:val="center"/>
                </w:tcPr>
                <w:p>
                  <w:pPr>
                    <w:widowControl w:val="0"/>
                    <w:autoSpaceDE w:val="0"/>
                    <w:autoSpaceDN w:val="0"/>
                    <w:adjustRightInd w:val="0"/>
                    <w:spacing w:line="240" w:lineRule="auto"/>
                    <w:jc w:val="center"/>
                    <w:rPr>
                      <w:rFonts w:eastAsia="宋体"/>
                      <w:kern w:val="0"/>
                      <w:sz w:val="21"/>
                      <w:szCs w:val="24"/>
                    </w:rPr>
                  </w:pPr>
                  <w:r>
                    <w:rPr>
                      <w:rFonts w:hint="eastAsia" w:eastAsia="宋体"/>
                      <w:kern w:val="0"/>
                      <w:sz w:val="21"/>
                      <w:szCs w:val="24"/>
                    </w:rPr>
                    <w:t>68.34</w:t>
                  </w:r>
                </w:p>
              </w:tc>
            </w:tr>
          </w:tbl>
          <w:p>
            <w:pPr>
              <w:adjustRightInd w:val="0"/>
              <w:snapToGrid w:val="0"/>
              <w:ind w:firstLine="480" w:firstLineChars="200"/>
              <w:rPr>
                <w:rFonts w:eastAsia="宋体"/>
                <w:bCs/>
                <w:sz w:val="24"/>
                <w:szCs w:val="24"/>
              </w:rPr>
            </w:pPr>
            <w:r>
              <w:rPr>
                <w:rFonts w:eastAsia="宋体"/>
                <w:bCs/>
                <w:sz w:val="24"/>
                <w:szCs w:val="24"/>
              </w:rPr>
              <w:t>经对比分析，生态空间保护区域 “</w:t>
            </w:r>
            <w:r>
              <w:rPr>
                <w:rFonts w:hint="eastAsia" w:eastAsia="宋体"/>
                <w:sz w:val="24"/>
                <w:szCs w:val="24"/>
              </w:rPr>
              <w:t>新沂河（沭阳县）洪水调蓄区</w:t>
            </w:r>
            <w:r>
              <w:rPr>
                <w:rFonts w:eastAsia="宋体"/>
                <w:bCs/>
                <w:sz w:val="24"/>
                <w:szCs w:val="24"/>
              </w:rPr>
              <w:t>”位于本项目所在地</w:t>
            </w:r>
            <w:r>
              <w:rPr>
                <w:rFonts w:hint="eastAsia" w:eastAsia="宋体"/>
                <w:bCs/>
                <w:sz w:val="24"/>
                <w:szCs w:val="24"/>
              </w:rPr>
              <w:t>北</w:t>
            </w:r>
            <w:r>
              <w:rPr>
                <w:rFonts w:eastAsia="宋体"/>
                <w:bCs/>
                <w:sz w:val="24"/>
                <w:szCs w:val="24"/>
              </w:rPr>
              <w:t>侧，最近相对距离为</w:t>
            </w:r>
            <w:r>
              <w:rPr>
                <w:rFonts w:hint="eastAsia" w:eastAsia="宋体"/>
                <w:bCs/>
                <w:sz w:val="24"/>
                <w:szCs w:val="24"/>
              </w:rPr>
              <w:t>2000</w:t>
            </w:r>
            <w:r>
              <w:rPr>
                <w:rFonts w:eastAsia="宋体"/>
                <w:bCs/>
                <w:sz w:val="24"/>
                <w:szCs w:val="24"/>
              </w:rPr>
              <w:t>m，相对距离较远，不在该生态空间管控区域范围内（相对位置详见附图）。因此，本项目的建设不违背《省政府关于印发江苏省生态空间管控区域规划的通知》（苏政发〔2020〕1号）及《省政府关于印发江苏省国家级生态保护红线规划的通知》（苏政发〔2018〕74号）生态红线相关要求。</w:t>
            </w:r>
          </w:p>
          <w:p>
            <w:pPr>
              <w:adjustRightInd w:val="0"/>
              <w:snapToGrid w:val="0"/>
              <w:ind w:firstLine="480" w:firstLineChars="200"/>
              <w:rPr>
                <w:rFonts w:eastAsia="宋体"/>
                <w:bCs/>
                <w:sz w:val="24"/>
                <w:szCs w:val="24"/>
              </w:rPr>
            </w:pPr>
            <w:r>
              <w:rPr>
                <w:rFonts w:eastAsia="宋体"/>
                <w:bCs/>
                <w:sz w:val="24"/>
                <w:szCs w:val="24"/>
              </w:rPr>
              <w:t xml:space="preserve">（2）环境质量底线 </w:t>
            </w:r>
          </w:p>
          <w:p>
            <w:pPr>
              <w:adjustRightInd w:val="0"/>
              <w:snapToGrid w:val="0"/>
              <w:ind w:firstLine="480" w:firstLineChars="200"/>
              <w:rPr>
                <w:rFonts w:eastAsia="宋体"/>
                <w:bCs/>
                <w:sz w:val="24"/>
                <w:szCs w:val="24"/>
              </w:rPr>
            </w:pPr>
            <w:r>
              <w:rPr>
                <w:rFonts w:hint="eastAsia" w:eastAsia="宋体"/>
                <w:bCs/>
                <w:sz w:val="24"/>
                <w:szCs w:val="24"/>
              </w:rPr>
              <w:t>2018 年沭阳县环境空气中二氧化硫的年均值、二氧化氮的年均值、O</w:t>
            </w:r>
            <w:r>
              <w:rPr>
                <w:rFonts w:hint="eastAsia" w:eastAsia="宋体"/>
                <w:bCs/>
                <w:sz w:val="24"/>
                <w:szCs w:val="24"/>
                <w:vertAlign w:val="superscript"/>
              </w:rPr>
              <w:t>3</w:t>
            </w:r>
            <w:r>
              <w:rPr>
                <w:rFonts w:hint="eastAsia" w:eastAsia="宋体"/>
                <w:bCs/>
                <w:sz w:val="24"/>
                <w:szCs w:val="24"/>
              </w:rPr>
              <w:t xml:space="preserve"> 的 8 小时平均、CO 的24小时平均值，可达到《环境空气质量标准》（GB3095-2012）二级标准；PM10的年均值、PM2.5 的年均值，超过《环境空气质量标准》（GB3095-2012）二级标准，超标倍数分别为 0.086 倍、0.286 倍。项目所在区域 PM10、PM2.5超标，因此判定为不达标区。根据大气环境质量达标规划，通过进一步控制扬尘污染，机动车尾气污染防治等措施，大气环境质量状况可以得到进一步改善。</w:t>
            </w:r>
          </w:p>
          <w:p>
            <w:pPr>
              <w:adjustRightInd w:val="0"/>
              <w:snapToGrid w:val="0"/>
              <w:ind w:firstLine="480" w:firstLineChars="200"/>
              <w:rPr>
                <w:rFonts w:eastAsia="宋体"/>
                <w:bCs/>
                <w:sz w:val="24"/>
                <w:szCs w:val="24"/>
              </w:rPr>
            </w:pPr>
            <w:r>
              <w:rPr>
                <w:rFonts w:eastAsia="宋体"/>
                <w:bCs/>
                <w:sz w:val="24"/>
                <w:szCs w:val="24"/>
              </w:rPr>
              <w:t>项目纳污水体为沂南河。根据沭阳县环保局发布的2018年1 ~12月环境质量公报，沂南河监测断面水质各项指标均达《地表水环境质量标准》（GB3838-2002）Ⅳ类标准要求，水体环境良好。</w:t>
            </w:r>
          </w:p>
          <w:p>
            <w:pPr>
              <w:adjustRightInd w:val="0"/>
              <w:snapToGrid w:val="0"/>
              <w:ind w:firstLine="480" w:firstLineChars="200"/>
              <w:rPr>
                <w:sz w:val="23"/>
                <w:szCs w:val="23"/>
              </w:rPr>
            </w:pPr>
            <w:r>
              <w:rPr>
                <w:rFonts w:eastAsia="宋体"/>
                <w:bCs/>
                <w:sz w:val="24"/>
                <w:szCs w:val="24"/>
              </w:rPr>
              <w:t>根据《宿迁市2018年环境状况公报》，</w:t>
            </w:r>
            <w:r>
              <w:rPr>
                <w:rFonts w:hint="eastAsia" w:eastAsia="宋体"/>
                <w:bCs/>
                <w:sz w:val="24"/>
                <w:szCs w:val="24"/>
              </w:rPr>
              <w:t>沭阳县</w:t>
            </w:r>
            <w:r>
              <w:rPr>
                <w:rFonts w:eastAsia="宋体"/>
                <w:bCs/>
                <w:sz w:val="24"/>
                <w:szCs w:val="24"/>
              </w:rPr>
              <w:t>达到《环境噪声监测技术规范城市声环境常规监测》（HJ640-2012）</w:t>
            </w:r>
            <w:r>
              <w:rPr>
                <w:rFonts w:hint="eastAsia" w:eastAsia="宋体"/>
                <w:bCs/>
                <w:sz w:val="24"/>
                <w:szCs w:val="24"/>
              </w:rPr>
              <w:t>三</w:t>
            </w:r>
            <w:r>
              <w:rPr>
                <w:rFonts w:eastAsia="宋体"/>
                <w:bCs/>
                <w:sz w:val="24"/>
                <w:szCs w:val="24"/>
              </w:rPr>
              <w:t>级标准。2018年，对纳入国家土壤监测网的5个背景点位开展土壤环境质量例行监测，并按《土壤环境质量农用地土壤污染风险管控标准》（GB15618-2018）进行风险评估，5个背景点的11个风险筛选项目均小于风险筛选值，全市土壤污染风险低。建设项目所在地无不良辐射环境和生态环境影响。</w:t>
            </w:r>
          </w:p>
          <w:p>
            <w:pPr>
              <w:adjustRightInd w:val="0"/>
              <w:snapToGrid w:val="0"/>
              <w:ind w:firstLine="480" w:firstLineChars="200"/>
            </w:pPr>
            <w:r>
              <w:rPr>
                <w:rFonts w:eastAsia="宋体"/>
                <w:sz w:val="24"/>
                <w:szCs w:val="24"/>
              </w:rPr>
              <w:t>项目大气污染源主要是是卸油、储存、加油过程中排放的油气，配套建设了二级油气回收系统，少量未回收的油气不会对周边大气环境造成明显影响；生活污水经化粪池预处理后通过污水管网接入</w:t>
            </w:r>
            <w:r>
              <w:rPr>
                <w:rFonts w:hint="eastAsia" w:eastAsia="宋体"/>
                <w:bCs/>
                <w:sz w:val="24"/>
                <w:szCs w:val="24"/>
              </w:rPr>
              <w:t>沭阳县城东污水处理有限公司</w:t>
            </w:r>
            <w:r>
              <w:rPr>
                <w:rFonts w:eastAsia="宋体"/>
                <w:sz w:val="24"/>
                <w:szCs w:val="24"/>
              </w:rPr>
              <w:t>处理；项目各类输送泵属于低噪声设备，能确保厂界达标。因此项目的建设不会突破环境质量底线。</w:t>
            </w:r>
          </w:p>
          <w:p>
            <w:pPr>
              <w:adjustRightInd w:val="0"/>
              <w:snapToGrid w:val="0"/>
              <w:ind w:firstLine="480" w:firstLineChars="200"/>
              <w:rPr>
                <w:rFonts w:eastAsia="宋体"/>
                <w:bCs/>
                <w:sz w:val="24"/>
                <w:szCs w:val="24"/>
              </w:rPr>
            </w:pPr>
            <w:r>
              <w:rPr>
                <w:rFonts w:eastAsia="宋体"/>
                <w:bCs/>
                <w:sz w:val="24"/>
                <w:szCs w:val="24"/>
              </w:rPr>
              <w:t xml:space="preserve">（3）资源利用上线 </w:t>
            </w:r>
          </w:p>
          <w:p>
            <w:pPr>
              <w:adjustRightInd w:val="0"/>
              <w:snapToGrid w:val="0"/>
              <w:ind w:firstLine="480" w:firstLineChars="200"/>
              <w:rPr>
                <w:rFonts w:eastAsia="宋体"/>
                <w:bCs/>
                <w:sz w:val="24"/>
                <w:szCs w:val="24"/>
              </w:rPr>
            </w:pPr>
            <w:r>
              <w:rPr>
                <w:rFonts w:eastAsia="宋体"/>
                <w:bCs/>
                <w:sz w:val="24"/>
                <w:szCs w:val="24"/>
              </w:rPr>
              <w:t>本项目用水来自区域自来水管网，用电由市政电网供给，不会达到资源利用上线；项目用地为商业用地，符合当地土地规划要求，亦不会达到资源利用上线。</w:t>
            </w:r>
          </w:p>
          <w:p>
            <w:pPr>
              <w:adjustRightInd w:val="0"/>
              <w:snapToGrid w:val="0"/>
              <w:ind w:firstLine="480" w:firstLineChars="200"/>
              <w:rPr>
                <w:rFonts w:eastAsia="宋体"/>
                <w:bCs/>
                <w:sz w:val="24"/>
                <w:szCs w:val="24"/>
              </w:rPr>
            </w:pPr>
            <w:r>
              <w:rPr>
                <w:rFonts w:eastAsia="宋体"/>
                <w:bCs/>
                <w:sz w:val="24"/>
                <w:szCs w:val="24"/>
              </w:rPr>
              <w:t>（4）环境准入负面清单</w:t>
            </w:r>
          </w:p>
          <w:p>
            <w:pPr>
              <w:adjustRightInd w:val="0"/>
              <w:snapToGrid w:val="0"/>
              <w:ind w:firstLine="480" w:firstLineChars="200"/>
              <w:rPr>
                <w:rFonts w:eastAsia="宋体"/>
                <w:sz w:val="24"/>
                <w:szCs w:val="24"/>
              </w:rPr>
            </w:pPr>
            <w:r>
              <w:rPr>
                <w:rFonts w:eastAsia="宋体"/>
                <w:bCs/>
                <w:sz w:val="24"/>
                <w:szCs w:val="24"/>
              </w:rPr>
              <w:t>项目所在地目前未制定环境准入负面清单，本次环评对照国家及地方产业政策和《市场准入负面清单》进行说明，具体见表1-1</w:t>
            </w:r>
            <w:r>
              <w:rPr>
                <w:rFonts w:hint="eastAsia" w:eastAsia="宋体"/>
                <w:bCs/>
                <w:sz w:val="24"/>
                <w:szCs w:val="24"/>
                <w:lang w:val="en-US" w:eastAsia="zh-CN"/>
              </w:rPr>
              <w:t>0</w:t>
            </w:r>
            <w:r>
              <w:rPr>
                <w:rFonts w:eastAsia="宋体"/>
                <w:bCs/>
                <w:sz w:val="24"/>
                <w:szCs w:val="24"/>
              </w:rPr>
              <w:t>。</w:t>
            </w:r>
          </w:p>
          <w:p>
            <w:pPr>
              <w:pStyle w:val="27"/>
              <w:jc w:val="center"/>
              <w:rPr>
                <w:rFonts w:ascii="Times New Roman"/>
                <w:b/>
                <w:color w:val="auto"/>
              </w:rPr>
            </w:pPr>
            <w:r>
              <w:rPr>
                <w:rFonts w:ascii="Times New Roman"/>
                <w:b/>
                <w:color w:val="auto"/>
              </w:rPr>
              <w:t>表</w:t>
            </w:r>
            <w:r>
              <w:rPr>
                <w:rFonts w:ascii="Times New Roman"/>
                <w:b/>
                <w:bCs/>
                <w:color w:val="auto"/>
              </w:rPr>
              <w:t>1-1</w:t>
            </w:r>
            <w:r>
              <w:rPr>
                <w:rFonts w:hint="eastAsia" w:ascii="Times New Roman"/>
                <w:b/>
                <w:bCs/>
                <w:color w:val="auto"/>
                <w:lang w:val="en-US" w:eastAsia="zh-CN"/>
              </w:rPr>
              <w:t>0</w:t>
            </w:r>
            <w:r>
              <w:rPr>
                <w:rFonts w:ascii="Times New Roman"/>
                <w:b/>
                <w:bCs/>
                <w:color w:val="auto"/>
              </w:rPr>
              <w:t xml:space="preserve"> </w:t>
            </w:r>
            <w:r>
              <w:rPr>
                <w:rFonts w:ascii="Times New Roman"/>
                <w:b/>
                <w:color w:val="auto"/>
              </w:rPr>
              <w:t>本项目与国家及地方产业政策和《市场准入负面清单》相符性分析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788"/>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内容</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相关性分析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《产业结构调整指导目录（2019年本）》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经查《产业结构调整指导目录（2019年本）》，项目产品、所用设备及工艺均不属于限制类和淘汰类，为允许类，符合该文件要求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《江苏省工业和信息产业结构调整指导目录（2012 年本）》及修订</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经查《江苏省工业和信息产业结构调整指导目录（2012 年本）》及修订，项目产品、所用设备及工艺均不属于限制类和淘汰类，为允许类，符合该文件要求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《限制用地项目目录（2012 年本）》、《禁止用地项目目录（2012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本项目不在《限制用地项目目录（2012 年本）》、《禁止用地项目目录（2012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《江苏省限制用地项目目录（2013 年本）》、《江苏省禁止用地项目目录（2013 年本）》</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本项目不在《江苏省限制用地项目目录（2013 年本）》、《江苏省禁止用地项目目录（2013 年本）》中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w:t>
                  </w:r>
                </w:p>
              </w:tc>
              <w:tc>
                <w:tcPr>
                  <w:tcW w:w="278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《市场准入负面清单（2019年版）》</w:t>
                  </w:r>
                </w:p>
              </w:tc>
              <w:tc>
                <w:tcPr>
                  <w:tcW w:w="496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经查《市场准入负面清单（2019年版）》，本项目不在其禁止准入类和限制准入类中</w:t>
                  </w:r>
                </w:p>
              </w:tc>
            </w:tr>
          </w:tbl>
          <w:p>
            <w:pPr>
              <w:snapToGrid w:val="0"/>
              <w:spacing w:line="500" w:lineRule="exact"/>
              <w:jc w:val="both"/>
              <w:rPr>
                <w:rFonts w:eastAsia="宋体"/>
                <w:bCs/>
                <w:sz w:val="24"/>
                <w:szCs w:val="24"/>
              </w:rPr>
            </w:pPr>
            <w:r>
              <w:rPr>
                <w:rFonts w:eastAsia="宋体"/>
                <w:bCs/>
                <w:sz w:val="24"/>
                <w:szCs w:val="24"/>
              </w:rPr>
              <w:t>由上表可知，本项目符合国家及地方产业政策和《市场准入负面清单（2019年版）》要求。综上所述，本项目符合“三线一单”要求。</w:t>
            </w:r>
          </w:p>
          <w:p>
            <w:pPr>
              <w:snapToGrid w:val="0"/>
              <w:spacing w:line="500" w:lineRule="exact"/>
              <w:jc w:val="both"/>
              <w:rPr>
                <w:rFonts w:eastAsia="宋体"/>
                <w:b/>
                <w:sz w:val="24"/>
                <w:szCs w:val="24"/>
              </w:rPr>
            </w:pPr>
            <w:r>
              <w:rPr>
                <w:rFonts w:eastAsia="宋体"/>
                <w:b/>
                <w:sz w:val="24"/>
                <w:szCs w:val="24"/>
              </w:rPr>
              <w:t>与本项目有关的原有污染情况及主要环境问题</w:t>
            </w:r>
          </w:p>
          <w:p>
            <w:pPr>
              <w:snapToGrid w:val="0"/>
              <w:spacing w:line="500" w:lineRule="exact"/>
              <w:ind w:right="140" w:rightChars="50" w:firstLine="480" w:firstLineChars="200"/>
              <w:rPr>
                <w:rFonts w:eastAsia="宋体"/>
                <w:sz w:val="24"/>
                <w:szCs w:val="24"/>
              </w:rPr>
            </w:pPr>
            <w:r>
              <w:rPr>
                <w:rFonts w:eastAsia="宋体"/>
                <w:sz w:val="24"/>
                <w:szCs w:val="24"/>
              </w:rPr>
              <w:t>项目</w:t>
            </w:r>
            <w:r>
              <w:rPr>
                <w:rFonts w:hint="eastAsia" w:eastAsia="宋体"/>
                <w:sz w:val="24"/>
                <w:szCs w:val="24"/>
              </w:rPr>
              <w:t>未</w:t>
            </w:r>
            <w:r>
              <w:rPr>
                <w:rFonts w:eastAsia="宋体"/>
                <w:sz w:val="24"/>
                <w:szCs w:val="24"/>
              </w:rPr>
              <w:t>做过</w:t>
            </w:r>
            <w:r>
              <w:rPr>
                <w:rFonts w:hint="eastAsia" w:eastAsia="宋体"/>
                <w:sz w:val="24"/>
                <w:szCs w:val="24"/>
              </w:rPr>
              <w:t>手续</w:t>
            </w:r>
            <w:r>
              <w:rPr>
                <w:rFonts w:eastAsia="宋体"/>
                <w:sz w:val="24"/>
                <w:szCs w:val="24"/>
              </w:rPr>
              <w:t>，如今重新补办环评手续，以便解决现存环保问题。</w:t>
            </w:r>
          </w:p>
        </w:tc>
      </w:tr>
    </w:tbl>
    <w:p>
      <w:pPr>
        <w:rPr>
          <w:rFonts w:eastAsia="宋体"/>
          <w:b/>
          <w:szCs w:val="28"/>
        </w:rPr>
        <w:sectPr>
          <w:footerReference r:id="rId6" w:type="default"/>
          <w:pgSz w:w="11907" w:h="16840"/>
          <w:pgMar w:top="1418" w:right="1418" w:bottom="1418" w:left="1418" w:header="851" w:footer="992" w:gutter="0"/>
          <w:pgNumType w:start="1"/>
          <w:cols w:space="720" w:num="1"/>
          <w:docGrid w:linePitch="387" w:charSpace="-5735"/>
        </w:sectPr>
      </w:pPr>
    </w:p>
    <w:p>
      <w:pPr>
        <w:outlineLvl w:val="0"/>
        <w:rPr>
          <w:rFonts w:eastAsia="宋体"/>
          <w:b/>
        </w:rPr>
      </w:pPr>
      <w:r>
        <w:rPr>
          <w:rFonts w:eastAsia="宋体"/>
          <w:b/>
        </w:rPr>
        <w:t>二、建设项目所在地自然环境社会环境简况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071" w:type="dxa"/>
          </w:tcPr>
          <w:p>
            <w:pPr>
              <w:adjustRightInd w:val="0"/>
              <w:snapToGrid w:val="0"/>
              <w:spacing w:before="100" w:beforeAutospacing="1" w:after="100" w:afterAutospacing="1" w:line="400" w:lineRule="exact"/>
              <w:rPr>
                <w:rFonts w:eastAsia="宋体"/>
                <w:b/>
                <w:sz w:val="24"/>
                <w:szCs w:val="24"/>
              </w:rPr>
            </w:pPr>
            <w:r>
              <w:rPr>
                <w:rFonts w:eastAsia="宋体"/>
                <w:b/>
                <w:sz w:val="24"/>
                <w:szCs w:val="24"/>
              </w:rPr>
              <w:t>2.1自然环境简况(地形、地貌、地质、气候、气象、水文、植被、生物多样性等)：</w:t>
            </w:r>
          </w:p>
          <w:p>
            <w:pPr>
              <w:spacing w:before="240" w:beforeLines="100" w:after="120" w:afterLines="50"/>
              <w:ind w:left="420"/>
              <w:rPr>
                <w:rFonts w:eastAsia="宋体"/>
                <w:sz w:val="24"/>
                <w:szCs w:val="24"/>
              </w:rPr>
            </w:pPr>
            <w:r>
              <w:rPr>
                <w:rFonts w:eastAsia="宋体"/>
                <w:sz w:val="24"/>
                <w:szCs w:val="24"/>
              </w:rPr>
              <w:t>2.1.1</w:t>
            </w:r>
            <w:r>
              <w:rPr>
                <w:rFonts w:hint="eastAsia" w:eastAsia="宋体"/>
                <w:sz w:val="24"/>
                <w:szCs w:val="24"/>
              </w:rPr>
              <w:t>地理位置</w:t>
            </w:r>
          </w:p>
          <w:p>
            <w:pPr>
              <w:pStyle w:val="27"/>
              <w:ind w:firstLine="480" w:firstLineChars="200"/>
              <w:rPr>
                <w:rFonts w:ascii="Times New Roman"/>
                <w:bCs/>
                <w:color w:val="auto"/>
                <w:kern w:val="2"/>
              </w:rPr>
            </w:pPr>
            <w:r>
              <w:rPr>
                <w:rFonts w:hint="eastAsia" w:ascii="Times New Roman"/>
                <w:bCs/>
                <w:color w:val="auto"/>
                <w:kern w:val="2"/>
              </w:rPr>
              <w:t>沭阳位于江苏省北部，地理坐标介于北纬 33°53'至 34°25'，东经 118°30'至 119°10'之间，东与连云港接壤，南与淮安市毗邻，西倚宿迁，北接徐州，是徐、连、淮、宿四市结合部。沭阳县交通便利，新长铁路以及京沪高速公路、205 国道、304 省道、307 省道穿境而过。沭阳距徐州观音国际机场 120 公里，距连云港机场 55 公里。沭阳县水路畅通，新沂河横贯东西，淮沭新河纵穿南北。我省 20 大内河港口之一的沭阳港，年吞吐量在 300 万吨以上，过淮沭河与长江连接，经沭新河、蔷薇河、古泊河达连云港港口。目前，沭阳县初步形成了站埠均衡、水陆交错的交通格局。公司坐落于</w:t>
            </w:r>
            <w:r>
              <w:rPr>
                <w:rFonts w:hint="eastAsia" w:ascii="Times New Roman"/>
              </w:rPr>
              <w:t>宿迁市沭阳县台州路东侧与京沪高速交叉口南侧</w:t>
            </w:r>
            <w:r>
              <w:rPr>
                <w:rFonts w:hint="eastAsia" w:ascii="Times New Roman"/>
                <w:bCs/>
                <w:color w:val="auto"/>
                <w:kern w:val="2"/>
              </w:rPr>
              <w:t>，地理中心坐标为：经度 118.802114，纬度 34.129832。公司具体地理位置见附图一。</w:t>
            </w:r>
          </w:p>
          <w:p>
            <w:pPr>
              <w:spacing w:before="120" w:beforeLines="50" w:after="120" w:afterLines="50"/>
              <w:ind w:left="420"/>
              <w:rPr>
                <w:rFonts w:eastAsia="宋体"/>
                <w:sz w:val="24"/>
                <w:szCs w:val="24"/>
              </w:rPr>
            </w:pPr>
            <w:r>
              <w:rPr>
                <w:rFonts w:eastAsia="宋体"/>
                <w:sz w:val="24"/>
                <w:szCs w:val="24"/>
              </w:rPr>
              <w:t>2.1.2</w:t>
            </w:r>
            <w:r>
              <w:rPr>
                <w:rFonts w:hint="eastAsia" w:eastAsia="宋体"/>
                <w:sz w:val="24"/>
                <w:szCs w:val="24"/>
              </w:rPr>
              <w:t>地形、地质</w:t>
            </w:r>
          </w:p>
          <w:p>
            <w:pPr>
              <w:snapToGrid w:val="0"/>
              <w:spacing w:before="120" w:beforeLines="50" w:after="120" w:afterLines="50"/>
              <w:ind w:firstLine="480" w:firstLineChars="200"/>
              <w:rPr>
                <w:rFonts w:eastAsia="宋体"/>
                <w:bCs/>
                <w:sz w:val="24"/>
                <w:szCs w:val="24"/>
              </w:rPr>
            </w:pPr>
            <w:r>
              <w:rPr>
                <w:rFonts w:hint="eastAsia" w:eastAsia="宋体"/>
                <w:bCs/>
                <w:sz w:val="24"/>
                <w:szCs w:val="24"/>
              </w:rPr>
              <w:t>沭阳县地处黄淮平原，位于江苏省北部，隶属宿迁市，地势西高东低，大部分地面高程在 4.5－7 米。县内最高峰韩山海拨 70 米，除潼阳、茆圩、刘集、悦来等乡镇有些岗岭外，土地平衍，河网密布。地势由南向北略有倾斜，地形呈不规则方形。沂北区所在区域内地势低平，平原广阔。西南部属岗岭地带，最高处海拨 22.70 米，东北部地势低洼，最低处海拨 1.5 米。境内有韩山、万山、孤山等低丘。土质方面：河土 16%，碱土 9%，岗土和淤土 55%，其它占 10%。区域地质稳定性相对较好。根据《中国地震动参数区划图》（GB18306-2001），工程区地震基本烈度为Ⅶ度。</w:t>
            </w:r>
          </w:p>
          <w:p>
            <w:pPr>
              <w:snapToGrid w:val="0"/>
              <w:spacing w:before="120" w:beforeLines="50" w:after="120" w:afterLines="50"/>
              <w:ind w:firstLine="480" w:firstLineChars="200"/>
              <w:rPr>
                <w:rFonts w:eastAsia="宋体"/>
                <w:sz w:val="24"/>
                <w:szCs w:val="24"/>
              </w:rPr>
            </w:pPr>
            <w:r>
              <w:rPr>
                <w:rFonts w:eastAsia="宋体"/>
                <w:sz w:val="24"/>
                <w:szCs w:val="24"/>
              </w:rPr>
              <w:t>2.1.3</w:t>
            </w:r>
            <w:r>
              <w:rPr>
                <w:rFonts w:hint="eastAsia" w:eastAsia="宋体"/>
                <w:sz w:val="24"/>
                <w:szCs w:val="24"/>
              </w:rPr>
              <w:t>气候、气象</w:t>
            </w:r>
          </w:p>
          <w:p>
            <w:pPr>
              <w:widowControl w:val="0"/>
              <w:adjustRightInd w:val="0"/>
              <w:snapToGrid w:val="0"/>
              <w:spacing w:before="240" w:beforeLines="100"/>
              <w:ind w:firstLine="480" w:firstLineChars="200"/>
              <w:rPr>
                <w:rFonts w:eastAsia="宋体"/>
                <w:bCs/>
                <w:sz w:val="24"/>
                <w:szCs w:val="24"/>
              </w:rPr>
            </w:pPr>
            <w:r>
              <w:rPr>
                <w:rFonts w:hint="eastAsia" w:eastAsia="宋体"/>
                <w:bCs/>
                <w:sz w:val="24"/>
                <w:szCs w:val="24"/>
              </w:rPr>
              <w:t>沭阳地处北亚热带和南暖温带的过渡区，属于暖湿季风气候，全境气候温和，四季分明，日照充足，雨量丰沛。常年气温平均为 13.8℃，年极端最高气温 38℃，年极端最低气温-18℃；全年平均降雨量 937.6mm，多集中于 7-9 月份。常年主导风向为东南风，次主导风向为东北风。其主要气象特征见表 2-1。</w:t>
            </w:r>
          </w:p>
          <w:p>
            <w:pPr>
              <w:widowControl w:val="0"/>
              <w:adjustRightInd w:val="0"/>
              <w:snapToGrid w:val="0"/>
              <w:ind w:firstLine="562" w:firstLineChars="200"/>
              <w:jc w:val="center"/>
              <w:rPr>
                <w:rFonts w:eastAsia="宋体"/>
                <w:b/>
                <w:color w:val="000000" w:themeColor="text1"/>
                <w:szCs w:val="24"/>
              </w:rPr>
            </w:pPr>
            <w:r>
              <w:rPr>
                <w:rFonts w:eastAsia="宋体"/>
                <w:b/>
                <w:color w:val="000000" w:themeColor="text1"/>
                <w:szCs w:val="24"/>
              </w:rPr>
              <w:t>表2-1  区域气象特征参数表</w:t>
            </w:r>
          </w:p>
          <w:tbl>
            <w:tblPr>
              <w:tblStyle w:val="2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2794"/>
              <w:gridCol w:w="2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30" w:type="dxa"/>
                  <w:gridSpan w:val="2"/>
                  <w:tcBorders>
                    <w:bottom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气象要素</w:t>
                  </w:r>
                </w:p>
              </w:tc>
              <w:tc>
                <w:tcPr>
                  <w:tcW w:w="2776" w:type="dxa"/>
                  <w:tcBorders>
                    <w:bottom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气温</w:t>
                  </w:r>
                </w:p>
              </w:tc>
              <w:tc>
                <w:tcPr>
                  <w:tcW w:w="2794" w:type="dxa"/>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多年平均气温（℃）</w:t>
                  </w:r>
                </w:p>
              </w:tc>
              <w:tc>
                <w:tcPr>
                  <w:tcW w:w="2776" w:type="dxa"/>
                  <w:tcBorders>
                    <w:top w:val="single" w:color="auto" w:sz="12" w:space="0"/>
                  </w:tcBorders>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极端最低气温（℃）</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-13.</w:t>
                  </w:r>
                  <w:r>
                    <w:rPr>
                      <w:rFonts w:hint="eastAsia" w:eastAsia="宋体"/>
                      <w:color w:val="000000" w:themeColor="text1"/>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极端最高气温（℃）</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湿度</w:t>
                  </w: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历年平均相对湿度（%）</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both"/>
                    <w:rPr>
                      <w:rFonts w:eastAsia="宋体"/>
                      <w:color w:val="000000" w:themeColor="text1"/>
                      <w:sz w:val="21"/>
                      <w:szCs w:val="21"/>
                    </w:rPr>
                  </w:pPr>
                  <w:r>
                    <w:rPr>
                      <w:rFonts w:hint="eastAsia" w:eastAsia="宋体"/>
                      <w:color w:val="000000" w:themeColor="text1"/>
                      <w:sz w:val="21"/>
                      <w:szCs w:val="21"/>
                    </w:rPr>
                    <w:t>最热月平均</w:t>
                  </w:r>
                  <w:r>
                    <w:rPr>
                      <w:rFonts w:eastAsia="宋体"/>
                      <w:color w:val="000000" w:themeColor="text1"/>
                      <w:sz w:val="21"/>
                      <w:szCs w:val="21"/>
                    </w:rPr>
                    <w:t>相对湿度（%）</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降</w:t>
                  </w:r>
                  <w:r>
                    <w:rPr>
                      <w:rFonts w:hint="eastAsia" w:eastAsia="宋体"/>
                      <w:color w:val="000000" w:themeColor="text1"/>
                      <w:sz w:val="21"/>
                      <w:szCs w:val="21"/>
                    </w:rPr>
                    <w:t>雨</w:t>
                  </w:r>
                  <w:r>
                    <w:rPr>
                      <w:rFonts w:eastAsia="宋体"/>
                      <w:color w:val="000000" w:themeColor="text1"/>
                      <w:sz w:val="21"/>
                      <w:szCs w:val="21"/>
                    </w:rPr>
                    <w:t>量</w:t>
                  </w: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最大降雨量（mm）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1647.1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最小降雨量（mm）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573.9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多年平均降雨量（mm）</w:t>
                  </w:r>
                </w:p>
              </w:tc>
              <w:tc>
                <w:tcPr>
                  <w:tcW w:w="277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900.6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restart"/>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降雪量</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最大积雪深度</w:t>
                  </w:r>
                  <w:r>
                    <w:rPr>
                      <w:rFonts w:eastAsia="宋体"/>
                      <w:color w:val="000000" w:themeColor="text1"/>
                      <w:sz w:val="21"/>
                      <w:szCs w:val="21"/>
                    </w:rPr>
                    <w:t>（</w:t>
                  </w:r>
                  <w:r>
                    <w:rPr>
                      <w:rFonts w:hint="eastAsia" w:eastAsia="宋体"/>
                      <w:color w:val="000000" w:themeColor="text1"/>
                      <w:sz w:val="21"/>
                      <w:szCs w:val="21"/>
                    </w:rPr>
                    <w:t>c</w:t>
                  </w:r>
                  <w:r>
                    <w:rPr>
                      <w:rFonts w:eastAsia="宋体"/>
                      <w:color w:val="000000" w:themeColor="text1"/>
                      <w:sz w:val="21"/>
                      <w:szCs w:val="21"/>
                    </w:rPr>
                    <w:t>m）</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平均积雪深度</w:t>
                  </w:r>
                  <w:r>
                    <w:rPr>
                      <w:rFonts w:eastAsia="宋体"/>
                      <w:color w:val="000000" w:themeColor="text1"/>
                      <w:sz w:val="21"/>
                      <w:szCs w:val="21"/>
                    </w:rPr>
                    <w:t>（</w:t>
                  </w:r>
                  <w:r>
                    <w:rPr>
                      <w:rFonts w:hint="eastAsia" w:eastAsia="宋体"/>
                      <w:color w:val="000000" w:themeColor="text1"/>
                      <w:sz w:val="21"/>
                      <w:szCs w:val="21"/>
                    </w:rPr>
                    <w:t>c</w:t>
                  </w:r>
                  <w:r>
                    <w:rPr>
                      <w:rFonts w:eastAsia="宋体"/>
                      <w:color w:val="000000" w:themeColor="text1"/>
                      <w:sz w:val="21"/>
                      <w:szCs w:val="21"/>
                    </w:rPr>
                    <w:t>m）</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vMerge w:val="continue"/>
                  <w:shd w:val="clear" w:color="auto" w:fill="auto"/>
                  <w:vAlign w:val="center"/>
                </w:tcPr>
                <w:p>
                  <w:pPr>
                    <w:spacing w:line="240" w:lineRule="auto"/>
                    <w:jc w:val="center"/>
                    <w:rPr>
                      <w:rFonts w:eastAsia="宋体"/>
                      <w:color w:val="000000" w:themeColor="text1"/>
                      <w:sz w:val="21"/>
                      <w:szCs w:val="21"/>
                    </w:rPr>
                  </w:pP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全年平均积雪日数</w:t>
                  </w:r>
                  <w:r>
                    <w:rPr>
                      <w:rFonts w:eastAsia="宋体"/>
                      <w:color w:val="000000" w:themeColor="text1"/>
                      <w:sz w:val="21"/>
                      <w:szCs w:val="21"/>
                    </w:rPr>
                    <w:t>（</w:t>
                  </w:r>
                  <w:r>
                    <w:rPr>
                      <w:rFonts w:hint="eastAsia" w:eastAsia="宋体"/>
                      <w:color w:val="000000" w:themeColor="text1"/>
                      <w:sz w:val="21"/>
                      <w:szCs w:val="21"/>
                    </w:rPr>
                    <w:t>d</w:t>
                  </w:r>
                  <w:r>
                    <w:rPr>
                      <w:rFonts w:eastAsia="宋体"/>
                      <w:color w:val="000000" w:themeColor="text1"/>
                      <w:sz w:val="21"/>
                      <w:szCs w:val="21"/>
                    </w:rPr>
                    <w:t>）</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eastAsia="宋体"/>
                      <w:color w:val="000000" w:themeColor="text1"/>
                      <w:sz w:val="21"/>
                      <w:szCs w:val="21"/>
                    </w:rPr>
                    <w:t>风</w:t>
                  </w:r>
                  <w:r>
                    <w:rPr>
                      <w:rFonts w:hint="eastAsia" w:eastAsia="宋体"/>
                      <w:color w:val="000000" w:themeColor="text1"/>
                      <w:sz w:val="21"/>
                      <w:szCs w:val="21"/>
                    </w:rPr>
                    <w:t>向、频率</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年主导风向</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SE10.71%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风速</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年平均风速</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2.8m/s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气压</w:t>
                  </w:r>
                </w:p>
              </w:tc>
              <w:tc>
                <w:tcPr>
                  <w:tcW w:w="2794"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年平均大气压</w:t>
                  </w:r>
                </w:p>
              </w:tc>
              <w:tc>
                <w:tcPr>
                  <w:tcW w:w="2776" w:type="dxa"/>
                  <w:shd w:val="clear" w:color="auto" w:fill="auto"/>
                  <w:vAlign w:val="center"/>
                </w:tcPr>
                <w:p>
                  <w:pPr>
                    <w:spacing w:line="240" w:lineRule="auto"/>
                    <w:jc w:val="center"/>
                    <w:rPr>
                      <w:rFonts w:eastAsia="宋体"/>
                      <w:color w:val="000000" w:themeColor="text1"/>
                      <w:sz w:val="21"/>
                      <w:szCs w:val="21"/>
                    </w:rPr>
                  </w:pPr>
                  <w:r>
                    <w:rPr>
                      <w:rFonts w:hint="eastAsia" w:eastAsia="宋体"/>
                      <w:color w:val="000000" w:themeColor="text1"/>
                      <w:sz w:val="21"/>
                      <w:szCs w:val="21"/>
                    </w:rPr>
                    <w:t>1015.9mbar</w:t>
                  </w:r>
                </w:p>
              </w:tc>
            </w:tr>
          </w:tbl>
          <w:p>
            <w:pPr>
              <w:snapToGrid w:val="0"/>
              <w:ind w:firstLine="480" w:firstLineChars="200"/>
              <w:rPr>
                <w:rFonts w:eastAsia="宋体"/>
                <w:sz w:val="24"/>
                <w:szCs w:val="24"/>
              </w:rPr>
            </w:pPr>
            <w:r>
              <w:rPr>
                <w:rFonts w:eastAsia="宋体"/>
                <w:sz w:val="24"/>
                <w:szCs w:val="24"/>
              </w:rPr>
              <w:t>2.1.4</w:t>
            </w:r>
            <w:r>
              <w:rPr>
                <w:rFonts w:hint="eastAsia" w:eastAsia="宋体"/>
                <w:sz w:val="24"/>
                <w:szCs w:val="24"/>
              </w:rPr>
              <w:t>水文概况</w:t>
            </w:r>
          </w:p>
          <w:p>
            <w:pPr>
              <w:snapToGrid w:val="0"/>
              <w:ind w:firstLine="480" w:firstLineChars="200"/>
              <w:rPr>
                <w:rFonts w:eastAsia="宋体"/>
                <w:sz w:val="24"/>
                <w:szCs w:val="24"/>
              </w:rPr>
            </w:pPr>
            <w:r>
              <w:rPr>
                <w:rFonts w:hint="eastAsia" w:eastAsia="宋体"/>
                <w:sz w:val="24"/>
                <w:szCs w:val="24"/>
              </w:rPr>
              <w:t>沭阳县地处淮、沂、沭、泗水系下游，地势低洼，过境水水量较大。境内河流较多，主要有淮沭河、新沂河和沂南河等。</w:t>
            </w:r>
          </w:p>
          <w:p>
            <w:pPr>
              <w:snapToGrid w:val="0"/>
              <w:ind w:firstLine="480" w:firstLineChars="200"/>
              <w:rPr>
                <w:rFonts w:eastAsia="宋体"/>
                <w:sz w:val="24"/>
                <w:szCs w:val="24"/>
              </w:rPr>
            </w:pPr>
            <w:r>
              <w:rPr>
                <w:rFonts w:hint="eastAsia" w:eastAsia="宋体"/>
                <w:sz w:val="24"/>
                <w:szCs w:val="24"/>
              </w:rPr>
              <w:t>（1）淮沭河</w:t>
            </w:r>
          </w:p>
          <w:p>
            <w:pPr>
              <w:snapToGrid w:val="0"/>
              <w:ind w:firstLine="480" w:firstLineChars="200"/>
              <w:rPr>
                <w:rFonts w:eastAsia="宋体"/>
                <w:sz w:val="24"/>
                <w:szCs w:val="24"/>
              </w:rPr>
            </w:pPr>
            <w:r>
              <w:rPr>
                <w:rFonts w:hint="eastAsia" w:eastAsia="宋体"/>
                <w:sz w:val="24"/>
                <w:szCs w:val="24"/>
              </w:rPr>
              <w:t>淮沭河是沭阳县境内的主要河流之一，它的上游源于洪泽湖，途经淮安、泗阳、沭阳和东海等县，在连云港市境内汇入黄海。该河由沭阳县城区的西部流过，与新沂河的南偏泓汇合。淮沭河河面宽 1.4km，河道设计流量为 3000m</w:t>
            </w:r>
            <w:r>
              <w:rPr>
                <w:rFonts w:hint="eastAsia" w:eastAsia="宋体"/>
                <w:sz w:val="24"/>
                <w:szCs w:val="24"/>
                <w:vertAlign w:val="superscript"/>
              </w:rPr>
              <w:t>3</w:t>
            </w:r>
            <w:r>
              <w:rPr>
                <w:rFonts w:hint="eastAsia" w:eastAsia="宋体"/>
                <w:sz w:val="24"/>
                <w:szCs w:val="24"/>
              </w:rPr>
              <w:t>/s，枯水期最小流量为2.21m</w:t>
            </w:r>
            <w:r>
              <w:rPr>
                <w:rFonts w:hint="eastAsia" w:eastAsia="宋体"/>
                <w:sz w:val="24"/>
                <w:szCs w:val="24"/>
                <w:vertAlign w:val="superscript"/>
              </w:rPr>
              <w:t>3</w:t>
            </w:r>
            <w:r>
              <w:rPr>
                <w:rFonts w:hint="eastAsia" w:eastAsia="宋体"/>
                <w:sz w:val="24"/>
                <w:szCs w:val="24"/>
              </w:rPr>
              <w:t>/s，六级航道，最高水位为 11.81m，最低水位为 6.51m，基本无结冰期。</w:t>
            </w:r>
          </w:p>
          <w:p>
            <w:pPr>
              <w:snapToGrid w:val="0"/>
              <w:ind w:firstLine="480" w:firstLineChars="200"/>
              <w:rPr>
                <w:rFonts w:eastAsia="宋体"/>
                <w:sz w:val="24"/>
                <w:szCs w:val="24"/>
              </w:rPr>
            </w:pPr>
            <w:r>
              <w:rPr>
                <w:rFonts w:hint="eastAsia" w:eastAsia="宋体"/>
                <w:sz w:val="24"/>
                <w:szCs w:val="24"/>
              </w:rPr>
              <w:t>淮沭河与新沂河南偏泓交汇处上游约 5km 处，建有沭阳闸，该闸对淮沭河的流量进行适时的调节。淮沭河与新沂河交汇处有一穿过新沂河的河底地涵，该地涵引部分淮沭河清水，经淮沭新河向连云港市的蔷薇河提供清水，这就是苏北地区近年完成的“蔷薇河送清水工程”。</w:t>
            </w:r>
          </w:p>
          <w:p>
            <w:pPr>
              <w:snapToGrid w:val="0"/>
              <w:ind w:firstLine="480" w:firstLineChars="200"/>
              <w:rPr>
                <w:rFonts w:eastAsia="宋体"/>
                <w:sz w:val="24"/>
                <w:szCs w:val="24"/>
              </w:rPr>
            </w:pPr>
            <w:r>
              <w:rPr>
                <w:rFonts w:hint="eastAsia" w:eastAsia="宋体"/>
                <w:sz w:val="24"/>
                <w:szCs w:val="24"/>
              </w:rPr>
              <w:t>（2）新沂河</w:t>
            </w:r>
          </w:p>
          <w:p>
            <w:pPr>
              <w:snapToGrid w:val="0"/>
              <w:ind w:firstLine="480" w:firstLineChars="200"/>
              <w:rPr>
                <w:rFonts w:eastAsia="宋体"/>
                <w:sz w:val="24"/>
                <w:szCs w:val="24"/>
              </w:rPr>
            </w:pPr>
            <w:r>
              <w:rPr>
                <w:rFonts w:hint="eastAsia" w:eastAsia="宋体"/>
                <w:sz w:val="24"/>
                <w:szCs w:val="24"/>
              </w:rPr>
              <w:t>新沂河是沭阳县境内最大的河流，由颜集入境，横穿沭阳县中部，经灌南、灌云等县流入黄海，流经沭阳县境内的长度为 60km，是该县泄洪、排涝、灌溉的主要河流，年径流量 59.14 亿m</w:t>
            </w:r>
            <w:r>
              <w:rPr>
                <w:rFonts w:hint="eastAsia" w:eastAsia="宋体"/>
                <w:sz w:val="24"/>
                <w:szCs w:val="24"/>
                <w:vertAlign w:val="superscript"/>
              </w:rPr>
              <w:t>3</w:t>
            </w:r>
            <w:r>
              <w:rPr>
                <w:rFonts w:hint="eastAsia" w:eastAsia="宋体"/>
                <w:sz w:val="24"/>
                <w:szCs w:val="24"/>
              </w:rPr>
              <w:t>，河宽 1100-1400m，设计流量为 6000m</w:t>
            </w:r>
            <w:r>
              <w:rPr>
                <w:rFonts w:hint="eastAsia" w:eastAsia="宋体"/>
                <w:sz w:val="24"/>
                <w:szCs w:val="24"/>
                <w:vertAlign w:val="superscript"/>
              </w:rPr>
              <w:t>3</w:t>
            </w:r>
            <w:r>
              <w:rPr>
                <w:rFonts w:hint="eastAsia" w:eastAsia="宋体"/>
                <w:sz w:val="24"/>
                <w:szCs w:val="24"/>
              </w:rPr>
              <w:t>/s，最大泄洪量为 7000m</w:t>
            </w:r>
            <w:r>
              <w:rPr>
                <w:rFonts w:hint="eastAsia" w:eastAsia="宋体"/>
                <w:sz w:val="24"/>
                <w:szCs w:val="24"/>
                <w:vertAlign w:val="superscript"/>
              </w:rPr>
              <w:t>3</w:t>
            </w:r>
            <w:r>
              <w:rPr>
                <w:rFonts w:hint="eastAsia" w:eastAsia="宋体"/>
                <w:sz w:val="24"/>
                <w:szCs w:val="24"/>
              </w:rPr>
              <w:t>/s，</w:t>
            </w:r>
          </w:p>
          <w:p>
            <w:pPr>
              <w:snapToGrid w:val="0"/>
              <w:ind w:firstLine="480" w:firstLineChars="200"/>
              <w:rPr>
                <w:rFonts w:eastAsia="宋体"/>
                <w:sz w:val="24"/>
                <w:szCs w:val="24"/>
              </w:rPr>
            </w:pPr>
            <w:r>
              <w:rPr>
                <w:rFonts w:hint="eastAsia" w:eastAsia="宋体"/>
                <w:sz w:val="24"/>
                <w:szCs w:val="24"/>
              </w:rPr>
              <w:t>最高水位为 10.76m，最低水位为 4.25m。枯水季节，新沂河分割为三条河流，即北偏泓、中泓和南偏泓，行洪时，三条河流汇合成一条大河。</w:t>
            </w:r>
          </w:p>
          <w:p>
            <w:pPr>
              <w:snapToGrid w:val="0"/>
              <w:ind w:firstLine="480" w:firstLineChars="200"/>
              <w:rPr>
                <w:rFonts w:eastAsia="宋体"/>
                <w:sz w:val="24"/>
                <w:szCs w:val="24"/>
              </w:rPr>
            </w:pPr>
            <w:r>
              <w:rPr>
                <w:rFonts w:hint="eastAsia" w:eastAsia="宋体"/>
                <w:sz w:val="24"/>
                <w:szCs w:val="24"/>
              </w:rPr>
              <w:t>（3）沂南河</w:t>
            </w:r>
          </w:p>
          <w:p>
            <w:pPr>
              <w:snapToGrid w:val="0"/>
              <w:ind w:firstLine="480" w:firstLineChars="200"/>
              <w:rPr>
                <w:rFonts w:eastAsia="宋体"/>
                <w:sz w:val="24"/>
                <w:szCs w:val="24"/>
              </w:rPr>
            </w:pPr>
            <w:r>
              <w:rPr>
                <w:rFonts w:hint="eastAsia" w:eastAsia="宋体"/>
                <w:sz w:val="24"/>
                <w:szCs w:val="24"/>
              </w:rPr>
              <w:t>位于新沂河南堤外侧，离堤角 60m，是一条平行于新沂河的排涝河道，全长 48.5km，境内长 35km。其流域范围南起柴沂干渠，北到新沂河，面积为 247 平方千米。沂南河流域排涝原是由官田河、港河、万公河、叮当河向北，经前蔷薇河、卓王河、泊阳河、善后河出海。1950 年新沂河建成后，将这些河道切断，在开挖新沂河的同时，就将沂南河作为新沂河的附属工程同时兴建，以解决该区域的排水出路问题。沂南河是由沭阳及灌云两县共同完成的平地开河。沂南河流域地势极为平坦，从西官至盐河近 40km 距离，地面高差仅 1.0 米，即平均地面坡降不到 1/30000。沂南河属于江苏省骨干河道，在江苏省骨干河道名录中，沂南河河道功能为排涝，河道等级为 5 级。沂南河是沭阳县城区以及工业园南区和北区输送污水的唯一排海通道，目前基本上接纳了城区的全部污水。</w:t>
            </w:r>
          </w:p>
          <w:p>
            <w:pPr>
              <w:snapToGrid w:val="0"/>
              <w:ind w:firstLine="480" w:firstLineChars="200"/>
              <w:rPr>
                <w:rFonts w:eastAsia="宋体"/>
                <w:sz w:val="24"/>
                <w:szCs w:val="24"/>
              </w:rPr>
            </w:pPr>
            <w:r>
              <w:rPr>
                <w:rFonts w:hint="eastAsia" w:eastAsia="宋体"/>
                <w:sz w:val="24"/>
                <w:szCs w:val="24"/>
              </w:rPr>
              <w:t>（4）岔流河</w:t>
            </w:r>
          </w:p>
          <w:p>
            <w:pPr>
              <w:snapToGrid w:val="0"/>
              <w:ind w:firstLine="480" w:firstLineChars="200"/>
              <w:rPr>
                <w:rFonts w:eastAsia="宋体"/>
                <w:sz w:val="24"/>
                <w:szCs w:val="24"/>
              </w:rPr>
            </w:pPr>
            <w:r>
              <w:rPr>
                <w:rFonts w:hint="eastAsia" w:eastAsia="宋体"/>
                <w:sz w:val="24"/>
                <w:szCs w:val="24"/>
              </w:rPr>
              <w:t>岔流河发源于高流二湖水库流经沭阳县新河、潼阳、扎下等乡镇，由扎下王庄闸进入新沂河（南偏泓）。沭新河属于新沂河的一支流，其起源于沭阳县扎下沂北闸，流经扎下、贤官，主要用于泄洪、排涝、送水灌溉。开闸状态下，涨潮流速 0.05m/s、流量7.35m</w:t>
            </w:r>
            <w:r>
              <w:rPr>
                <w:rFonts w:hint="eastAsia" w:eastAsia="宋体"/>
                <w:sz w:val="24"/>
                <w:szCs w:val="24"/>
                <w:vertAlign w:val="superscript"/>
              </w:rPr>
              <w:t>3</w:t>
            </w:r>
            <w:r>
              <w:rPr>
                <w:rFonts w:hint="eastAsia" w:eastAsia="宋体"/>
                <w:sz w:val="24"/>
                <w:szCs w:val="24"/>
              </w:rPr>
              <w:t>/s，落潮流速 1.0m/s、流量 105.6m</w:t>
            </w:r>
            <w:r>
              <w:rPr>
                <w:rFonts w:hint="eastAsia" w:eastAsia="宋体"/>
                <w:sz w:val="24"/>
                <w:szCs w:val="24"/>
                <w:vertAlign w:val="superscript"/>
              </w:rPr>
              <w:t>3</w:t>
            </w:r>
            <w:r>
              <w:rPr>
                <w:rFonts w:hint="eastAsia" w:eastAsia="宋体"/>
                <w:sz w:val="24"/>
                <w:szCs w:val="24"/>
              </w:rPr>
              <w:t>/s。</w:t>
            </w:r>
          </w:p>
          <w:p>
            <w:pPr>
              <w:snapToGrid w:val="0"/>
              <w:ind w:firstLine="480" w:firstLineChars="200"/>
              <w:rPr>
                <w:rFonts w:eastAsia="宋体"/>
                <w:sz w:val="24"/>
                <w:szCs w:val="24"/>
              </w:rPr>
            </w:pPr>
            <w:r>
              <w:rPr>
                <w:rFonts w:hint="eastAsia" w:eastAsia="宋体"/>
                <w:sz w:val="24"/>
                <w:szCs w:val="24"/>
              </w:rPr>
              <w:t>（5）蔷薇河</w:t>
            </w:r>
          </w:p>
          <w:p>
            <w:pPr>
              <w:snapToGrid w:val="0"/>
              <w:ind w:firstLine="480" w:firstLineChars="200"/>
              <w:rPr>
                <w:rFonts w:eastAsia="宋体"/>
                <w:sz w:val="24"/>
                <w:szCs w:val="24"/>
              </w:rPr>
            </w:pPr>
            <w:r>
              <w:rPr>
                <w:rFonts w:hint="eastAsia" w:eastAsia="宋体"/>
                <w:sz w:val="24"/>
                <w:szCs w:val="24"/>
              </w:rPr>
              <w:t>蔷薇河发源于徐州市的马陵山、踢球山，横跨新沂、沭阳、东海县和连云港市区四个县市，于东海县浦南镇太平庄处与新沭河交汇入临洪河。蔷薇河水质较好，稳定保持在国家饮用水三类以上标准。</w:t>
            </w:r>
          </w:p>
          <w:p>
            <w:pPr>
              <w:snapToGrid w:val="0"/>
              <w:ind w:firstLine="480" w:firstLineChars="200"/>
              <w:rPr>
                <w:rFonts w:eastAsia="宋体"/>
                <w:sz w:val="24"/>
                <w:szCs w:val="24"/>
              </w:rPr>
            </w:pPr>
            <w:r>
              <w:rPr>
                <w:rFonts w:hint="eastAsia" w:eastAsia="宋体"/>
                <w:sz w:val="24"/>
                <w:szCs w:val="24"/>
              </w:rPr>
              <w:t>2.1.5植被生物多样性</w:t>
            </w:r>
          </w:p>
          <w:p>
            <w:pPr>
              <w:adjustRightInd w:val="0"/>
              <w:snapToGrid w:val="0"/>
              <w:rPr>
                <w:rFonts w:eastAsia="宋体"/>
                <w:bCs/>
                <w:sz w:val="24"/>
                <w:szCs w:val="24"/>
              </w:rPr>
            </w:pPr>
            <w:r>
              <w:rPr>
                <w:rFonts w:hint="eastAsia" w:eastAsia="宋体"/>
                <w:bCs/>
                <w:sz w:val="24"/>
                <w:szCs w:val="24"/>
              </w:rPr>
              <w:t>（1）陆地生态</w:t>
            </w:r>
          </w:p>
          <w:p>
            <w:pPr>
              <w:adjustRightInd w:val="0"/>
              <w:snapToGrid w:val="0"/>
              <w:ind w:firstLine="480" w:firstLineChars="200"/>
              <w:rPr>
                <w:rFonts w:eastAsia="宋体"/>
                <w:bCs/>
                <w:sz w:val="24"/>
                <w:szCs w:val="24"/>
              </w:rPr>
            </w:pPr>
            <w:r>
              <w:rPr>
                <w:rFonts w:hint="eastAsia" w:eastAsia="宋体"/>
                <w:bCs/>
                <w:sz w:val="24"/>
                <w:szCs w:val="24"/>
              </w:rPr>
              <w:t>沭阳县城区和经济开发区周围的陆地生态环境为农业型生态环境，植被以农作物为主；农田用地分析，目前主要农作物为水稻、小麦、玉米、棉花、大豆、油菜、山芋、花生等；植被以杨类占优势的暖温带落叶林为主，85％以上。其他树种有刺槐、中国槐、臭椿、柳、榆、桑、泡桐等；南方亚热带树种有山杨、刺楸等；果树有李、桃、杏、苹果、梨、枣、葡萄等；灌木有紫穗槐、野蔷薇、山胡椒等；长绿灌木有小叶女贞、刚竹、淡竹、紫竹等；藤本植物有木通、爬山虎、南蛇藤等；草本有狗尾草、蒲公英、苍耳等。项目所在地已无大型野生动物存在，尚存的野生动物仅为鸟类、鼠类、蛙类和蛇类等，境内主要的动物为人工饲养的家禽、家畜。</w:t>
            </w:r>
          </w:p>
          <w:p>
            <w:pPr>
              <w:adjustRightInd w:val="0"/>
              <w:snapToGrid w:val="0"/>
              <w:ind w:firstLine="480" w:firstLineChars="200"/>
              <w:rPr>
                <w:rFonts w:eastAsia="宋体"/>
                <w:bCs/>
                <w:sz w:val="24"/>
                <w:szCs w:val="24"/>
              </w:rPr>
            </w:pPr>
            <w:r>
              <w:rPr>
                <w:rFonts w:hint="eastAsia" w:eastAsia="宋体"/>
                <w:bCs/>
                <w:sz w:val="24"/>
                <w:szCs w:val="24"/>
              </w:rPr>
              <w:t>（2）水域</w:t>
            </w:r>
          </w:p>
          <w:p>
            <w:pPr>
              <w:adjustRightInd w:val="0"/>
              <w:snapToGrid w:val="0"/>
              <w:ind w:firstLine="480" w:firstLineChars="200"/>
              <w:rPr>
                <w:rFonts w:eastAsia="宋体"/>
                <w:bCs/>
                <w:sz w:val="24"/>
                <w:szCs w:val="24"/>
              </w:rPr>
            </w:pPr>
            <w:r>
              <w:rPr>
                <w:rFonts w:hint="eastAsia" w:eastAsia="宋体"/>
                <w:bCs/>
                <w:sz w:val="24"/>
                <w:szCs w:val="24"/>
              </w:rPr>
              <w:t>沭阳县境内的河流和湖泊有一定的水产资源，城区附近河段由于人工建闸、筑堤、</w:t>
            </w:r>
          </w:p>
          <w:p>
            <w:pPr>
              <w:adjustRightInd w:val="0"/>
              <w:snapToGrid w:val="0"/>
              <w:rPr>
                <w:rFonts w:eastAsia="宋体"/>
                <w:bCs/>
                <w:sz w:val="24"/>
                <w:szCs w:val="24"/>
              </w:rPr>
            </w:pPr>
            <w:r>
              <w:rPr>
                <w:rFonts w:hint="eastAsia" w:eastAsia="宋体"/>
                <w:bCs/>
                <w:sz w:val="24"/>
                <w:szCs w:val="24"/>
              </w:rPr>
              <w:t>捕捞等活动，加之工农业污水的影响，河中水生生物种类已受到很大影响。</w:t>
            </w:r>
          </w:p>
          <w:p>
            <w:pPr>
              <w:adjustRightInd w:val="0"/>
              <w:snapToGrid w:val="0"/>
              <w:rPr>
                <w:rFonts w:eastAsia="宋体"/>
                <w:bCs/>
                <w:sz w:val="24"/>
                <w:szCs w:val="24"/>
              </w:rPr>
            </w:pPr>
            <w:r>
              <w:rPr>
                <w:rFonts w:hint="eastAsia" w:eastAsia="宋体"/>
                <w:b/>
                <w:sz w:val="24"/>
                <w:szCs w:val="24"/>
              </w:rPr>
              <w:t>沭阳县城中片区简介</w:t>
            </w:r>
          </w:p>
          <w:p>
            <w:pPr>
              <w:adjustRightInd w:val="0"/>
              <w:snapToGrid w:val="0"/>
              <w:ind w:firstLine="480" w:firstLineChars="200"/>
              <w:rPr>
                <w:rFonts w:eastAsia="宋体"/>
                <w:bCs/>
                <w:sz w:val="24"/>
                <w:szCs w:val="24"/>
              </w:rPr>
            </w:pPr>
            <w:r>
              <w:rPr>
                <w:rFonts w:hint="eastAsia" w:eastAsia="宋体"/>
                <w:bCs/>
                <w:sz w:val="24"/>
                <w:szCs w:val="24"/>
              </w:rPr>
              <w:t>一、区位与规划范围</w:t>
            </w:r>
          </w:p>
          <w:p>
            <w:pPr>
              <w:adjustRightInd w:val="0"/>
              <w:snapToGrid w:val="0"/>
              <w:ind w:firstLine="480" w:firstLineChars="200"/>
              <w:rPr>
                <w:rFonts w:eastAsia="宋体"/>
                <w:bCs/>
                <w:sz w:val="24"/>
                <w:szCs w:val="24"/>
              </w:rPr>
            </w:pPr>
            <w:r>
              <w:rPr>
                <w:rFonts w:hint="eastAsia" w:eastAsia="宋体"/>
                <w:bCs/>
                <w:sz w:val="24"/>
                <w:szCs w:val="24"/>
              </w:rPr>
              <w:t>沭阳城中片区东侧紧邻国家级沭阳经济技术开发区，西侧与南部新城由新长铁路相隔，地处台州北路—京沪高速公路以西，新沂河以南、火车线路以东、宿迁大道以北间的区域，是现状沭阳中心城区的主要建成地区，总用地面积30.22平方公里。</w:t>
            </w:r>
          </w:p>
          <w:p>
            <w:pPr>
              <w:adjustRightInd w:val="0"/>
              <w:snapToGrid w:val="0"/>
              <w:ind w:firstLine="480" w:firstLineChars="200"/>
              <w:rPr>
                <w:rFonts w:eastAsia="宋体"/>
                <w:bCs/>
                <w:sz w:val="24"/>
                <w:szCs w:val="24"/>
              </w:rPr>
            </w:pPr>
            <w:r>
              <w:rPr>
                <w:rFonts w:hint="eastAsia" w:eastAsia="宋体"/>
                <w:bCs/>
                <w:sz w:val="24"/>
                <w:szCs w:val="24"/>
              </w:rPr>
              <w:t>二、规划定位</w:t>
            </w:r>
          </w:p>
          <w:p>
            <w:pPr>
              <w:adjustRightInd w:val="0"/>
              <w:snapToGrid w:val="0"/>
              <w:ind w:firstLine="480" w:firstLineChars="200"/>
              <w:rPr>
                <w:rFonts w:eastAsia="宋体"/>
                <w:bCs/>
                <w:sz w:val="24"/>
                <w:szCs w:val="24"/>
              </w:rPr>
            </w:pPr>
            <w:r>
              <w:rPr>
                <w:rFonts w:hint="eastAsia" w:eastAsia="宋体"/>
                <w:bCs/>
                <w:sz w:val="24"/>
                <w:szCs w:val="24"/>
              </w:rPr>
              <w:t>城中片区规划定位为“活力多元的城市商业中心，高质量发展的公共服务集聚区，生态、人文特色鲜明的宜居花园城”。</w:t>
            </w:r>
          </w:p>
          <w:p>
            <w:pPr>
              <w:adjustRightInd w:val="0"/>
              <w:snapToGrid w:val="0"/>
              <w:ind w:firstLine="480" w:firstLineChars="200"/>
              <w:rPr>
                <w:rFonts w:eastAsia="宋体"/>
                <w:bCs/>
                <w:sz w:val="24"/>
                <w:szCs w:val="24"/>
              </w:rPr>
            </w:pPr>
            <w:r>
              <w:rPr>
                <w:rFonts w:hint="eastAsia" w:eastAsia="宋体"/>
                <w:bCs/>
                <w:sz w:val="24"/>
                <w:szCs w:val="24"/>
              </w:rPr>
              <w:t>三、空间结构</w:t>
            </w:r>
          </w:p>
          <w:p>
            <w:pPr>
              <w:adjustRightInd w:val="0"/>
              <w:snapToGrid w:val="0"/>
              <w:ind w:firstLine="480" w:firstLineChars="200"/>
              <w:rPr>
                <w:rFonts w:eastAsia="宋体"/>
                <w:bCs/>
                <w:sz w:val="24"/>
                <w:szCs w:val="24"/>
              </w:rPr>
            </w:pPr>
            <w:r>
              <w:rPr>
                <w:rFonts w:hint="eastAsia" w:eastAsia="宋体"/>
                <w:bCs/>
                <w:sz w:val="24"/>
                <w:szCs w:val="24"/>
              </w:rPr>
              <w:t>规划形成“一核三轴，一带六单元”的空间结构。</w:t>
            </w:r>
          </w:p>
          <w:p>
            <w:pPr>
              <w:adjustRightInd w:val="0"/>
              <w:snapToGrid w:val="0"/>
              <w:ind w:firstLine="480" w:firstLineChars="200"/>
              <w:rPr>
                <w:rFonts w:eastAsia="宋体"/>
                <w:bCs/>
                <w:sz w:val="24"/>
                <w:szCs w:val="24"/>
              </w:rPr>
            </w:pPr>
            <w:r>
              <w:rPr>
                <w:rFonts w:hint="eastAsia" w:eastAsia="宋体"/>
                <w:bCs/>
                <w:sz w:val="24"/>
                <w:szCs w:val="24"/>
              </w:rPr>
              <w:t>一核：城市公共服务核心。</w:t>
            </w:r>
          </w:p>
          <w:p>
            <w:pPr>
              <w:adjustRightInd w:val="0"/>
              <w:snapToGrid w:val="0"/>
              <w:ind w:firstLine="480" w:firstLineChars="200"/>
              <w:rPr>
                <w:rFonts w:eastAsia="宋体"/>
                <w:bCs/>
                <w:sz w:val="24"/>
                <w:szCs w:val="24"/>
              </w:rPr>
            </w:pPr>
            <w:r>
              <w:rPr>
                <w:rFonts w:hint="eastAsia" w:eastAsia="宋体"/>
                <w:bCs/>
                <w:sz w:val="24"/>
                <w:szCs w:val="24"/>
              </w:rPr>
              <w:t>三轴：人民路-迎宾大道发展轴、苏州路发展轴和台州路发展轴。</w:t>
            </w:r>
          </w:p>
          <w:p>
            <w:pPr>
              <w:adjustRightInd w:val="0"/>
              <w:snapToGrid w:val="0"/>
              <w:ind w:firstLine="480" w:firstLineChars="200"/>
              <w:rPr>
                <w:rFonts w:eastAsia="宋体"/>
                <w:bCs/>
                <w:sz w:val="24"/>
                <w:szCs w:val="24"/>
              </w:rPr>
            </w:pPr>
            <w:r>
              <w:rPr>
                <w:rFonts w:hint="eastAsia" w:eastAsia="宋体"/>
                <w:bCs/>
                <w:sz w:val="24"/>
                <w:szCs w:val="24"/>
              </w:rPr>
              <w:t>一带：老沭河生态休闲游憩带。</w:t>
            </w:r>
          </w:p>
          <w:p>
            <w:pPr>
              <w:adjustRightInd w:val="0"/>
              <w:snapToGrid w:val="0"/>
              <w:ind w:firstLine="480" w:firstLineChars="200"/>
              <w:rPr>
                <w:rFonts w:eastAsia="宋体"/>
                <w:bCs/>
                <w:sz w:val="24"/>
                <w:szCs w:val="24"/>
              </w:rPr>
            </w:pPr>
            <w:r>
              <w:rPr>
                <w:rFonts w:hint="eastAsia" w:eastAsia="宋体"/>
                <w:bCs/>
                <w:sz w:val="24"/>
                <w:szCs w:val="24"/>
              </w:rPr>
              <w:t>六单元：包括老城单元、城北单元、圩东单元、河西单元、河东单元和南部单元。</w:t>
            </w:r>
          </w:p>
          <w:p>
            <w:pPr>
              <w:adjustRightInd w:val="0"/>
              <w:snapToGrid w:val="0"/>
              <w:ind w:firstLine="480" w:firstLineChars="200"/>
              <w:rPr>
                <w:rFonts w:eastAsia="宋体"/>
                <w:bCs/>
                <w:sz w:val="24"/>
                <w:szCs w:val="24"/>
              </w:rPr>
            </w:pPr>
            <w:r>
              <w:rPr>
                <w:rFonts w:hint="eastAsia" w:eastAsia="宋体"/>
                <w:bCs/>
                <w:sz w:val="24"/>
                <w:szCs w:val="24"/>
              </w:rPr>
              <w:t>四、用地布局</w:t>
            </w:r>
          </w:p>
          <w:p>
            <w:pPr>
              <w:adjustRightInd w:val="0"/>
              <w:snapToGrid w:val="0"/>
              <w:ind w:firstLine="480" w:firstLineChars="200"/>
              <w:rPr>
                <w:rFonts w:eastAsia="宋体"/>
                <w:bCs/>
                <w:sz w:val="24"/>
                <w:szCs w:val="24"/>
              </w:rPr>
            </w:pPr>
            <w:r>
              <w:rPr>
                <w:rFonts w:hint="eastAsia" w:eastAsia="宋体"/>
                <w:bCs/>
                <w:sz w:val="24"/>
                <w:szCs w:val="24"/>
              </w:rPr>
              <w:t>规划总用地规模3021.83公顷，其中城市建设用地1363.18公顷。其中包括居住用地37.94公顷，可容纳居住人口39万人；公共管理与公共服务设施用地364.25公顷；商业服务业设施用地233.0公顷；绿地与广场用地288.3公顷。</w:t>
            </w:r>
          </w:p>
          <w:p>
            <w:pPr>
              <w:adjustRightInd w:val="0"/>
              <w:snapToGrid w:val="0"/>
              <w:ind w:firstLine="480" w:firstLineChars="200"/>
              <w:rPr>
                <w:rFonts w:eastAsia="宋体"/>
                <w:bCs/>
                <w:sz w:val="24"/>
                <w:szCs w:val="24"/>
              </w:rPr>
            </w:pPr>
            <w:r>
              <w:rPr>
                <w:rFonts w:hint="eastAsia" w:eastAsia="宋体"/>
                <w:bCs/>
                <w:sz w:val="24"/>
                <w:szCs w:val="24"/>
              </w:rPr>
              <w:t>五、公共服务设施规划</w:t>
            </w:r>
          </w:p>
          <w:p>
            <w:pPr>
              <w:adjustRightInd w:val="0"/>
              <w:snapToGrid w:val="0"/>
              <w:ind w:firstLine="480" w:firstLineChars="200"/>
              <w:rPr>
                <w:rFonts w:eastAsia="宋体"/>
                <w:bCs/>
                <w:sz w:val="24"/>
                <w:szCs w:val="24"/>
              </w:rPr>
            </w:pPr>
            <w:r>
              <w:rPr>
                <w:rFonts w:hint="eastAsia" w:eastAsia="宋体"/>
                <w:bCs/>
                <w:sz w:val="24"/>
                <w:szCs w:val="24"/>
              </w:rPr>
              <w:t>规划片区内公共设施按照县级、10-15分钟生活圈、5分钟生活圈三级完善配置。规划布局6处高中、12处初中、18所小学；布局9处体育公园；布局9座综合医院、4座专科医院。设置12处10-15分钟生活圈中心、39个5分钟生活圈中心，为居民提供日常基本生活服务。</w:t>
            </w:r>
          </w:p>
          <w:p>
            <w:pPr>
              <w:adjustRightInd w:val="0"/>
              <w:snapToGrid w:val="0"/>
              <w:ind w:firstLine="480" w:firstLineChars="200"/>
              <w:rPr>
                <w:rFonts w:eastAsia="宋体"/>
                <w:bCs/>
                <w:sz w:val="24"/>
                <w:szCs w:val="24"/>
              </w:rPr>
            </w:pPr>
            <w:r>
              <w:rPr>
                <w:rFonts w:hint="eastAsia" w:eastAsia="宋体"/>
                <w:bCs/>
                <w:sz w:val="24"/>
                <w:szCs w:val="24"/>
              </w:rPr>
              <w:t>六、商业服务业设施</w:t>
            </w:r>
          </w:p>
          <w:p>
            <w:pPr>
              <w:adjustRightInd w:val="0"/>
              <w:snapToGrid w:val="0"/>
              <w:ind w:firstLine="480" w:firstLineChars="200"/>
              <w:rPr>
                <w:rFonts w:eastAsia="宋体"/>
                <w:bCs/>
                <w:sz w:val="24"/>
                <w:szCs w:val="24"/>
              </w:rPr>
            </w:pPr>
            <w:r>
              <w:rPr>
                <w:rFonts w:hint="eastAsia" w:eastAsia="宋体"/>
                <w:bCs/>
                <w:sz w:val="24"/>
                <w:szCs w:val="24"/>
              </w:rPr>
              <w:t>规划强化人民路商圈功能集聚、提档升级，实现购物、文娱、休闲、餐饮功能混合，建设以商业零售业为特色的县级商业中心。沿北京路、上海路等，建设特色沿街商业街区。提升城西、城南、城中3大专业市场群。补充完善以生活圈中心为基础的社区商业设施。依托河东中心、老沭河滨河地带及教育资源新增商务用地，建设嵌入式创新空间。</w:t>
            </w:r>
          </w:p>
          <w:p>
            <w:pPr>
              <w:adjustRightInd w:val="0"/>
              <w:snapToGrid w:val="0"/>
              <w:ind w:firstLine="480" w:firstLineChars="200"/>
              <w:rPr>
                <w:rFonts w:eastAsia="宋体"/>
                <w:bCs/>
                <w:sz w:val="24"/>
                <w:szCs w:val="24"/>
              </w:rPr>
            </w:pPr>
            <w:r>
              <w:rPr>
                <w:rFonts w:hint="eastAsia" w:eastAsia="宋体"/>
                <w:bCs/>
                <w:sz w:val="24"/>
                <w:szCs w:val="24"/>
              </w:rPr>
              <w:t>七、综合交通规划</w:t>
            </w:r>
          </w:p>
          <w:p>
            <w:pPr>
              <w:adjustRightInd w:val="0"/>
              <w:snapToGrid w:val="0"/>
              <w:ind w:firstLine="480" w:firstLineChars="200"/>
              <w:rPr>
                <w:rFonts w:eastAsia="宋体"/>
                <w:bCs/>
                <w:sz w:val="24"/>
                <w:szCs w:val="24"/>
              </w:rPr>
            </w:pPr>
            <w:r>
              <w:rPr>
                <w:rFonts w:hint="eastAsia" w:eastAsia="宋体"/>
                <w:bCs/>
                <w:sz w:val="24"/>
                <w:szCs w:val="24"/>
              </w:rPr>
              <w:t>优化街区路网结构，重点关注城市微循环。分梯级明确新建街区面积，推动发展开放便捷、尺度适宜、配套完善、邻里和谐的生活街区。规划形成威海路、淮河大道一横一纵快速路网；构建六横六纵主干路系统；补充完善次干路、支路系统，增加路网可达性，分流干路网压力，提高路网整体效应。</w:t>
            </w:r>
          </w:p>
          <w:p>
            <w:pPr>
              <w:adjustRightInd w:val="0"/>
              <w:snapToGrid w:val="0"/>
              <w:ind w:firstLine="480" w:firstLineChars="200"/>
              <w:rPr>
                <w:rFonts w:eastAsia="宋体"/>
                <w:bCs/>
                <w:sz w:val="24"/>
                <w:szCs w:val="24"/>
              </w:rPr>
            </w:pPr>
            <w:r>
              <w:rPr>
                <w:rFonts w:hint="eastAsia" w:eastAsia="宋体"/>
                <w:bCs/>
                <w:sz w:val="24"/>
                <w:szCs w:val="24"/>
              </w:rPr>
              <w:t>八、公园绿地建设</w:t>
            </w:r>
          </w:p>
          <w:p>
            <w:pPr>
              <w:adjustRightInd w:val="0"/>
              <w:snapToGrid w:val="0"/>
              <w:ind w:firstLine="480" w:firstLineChars="200"/>
              <w:rPr>
                <w:rFonts w:eastAsia="宋体"/>
                <w:bCs/>
                <w:sz w:val="24"/>
                <w:szCs w:val="24"/>
              </w:rPr>
            </w:pPr>
            <w:r>
              <w:rPr>
                <w:rFonts w:hint="eastAsia" w:eastAsia="宋体"/>
                <w:bCs/>
                <w:sz w:val="24"/>
                <w:szCs w:val="24"/>
              </w:rPr>
              <w:t>形成“一廊、三带、多点、多脉络”的绿地系统结构。按照“300米见绿、500米见园”的要求，规划建设14处综合公园、1处专类公园、11处休闲广场及若干街头游园。</w:t>
            </w:r>
          </w:p>
          <w:p>
            <w:pPr>
              <w:adjustRightInd w:val="0"/>
              <w:snapToGrid w:val="0"/>
              <w:ind w:firstLine="480" w:firstLineChars="200"/>
              <w:rPr>
                <w:rFonts w:eastAsia="宋体"/>
                <w:bCs/>
                <w:sz w:val="24"/>
                <w:szCs w:val="24"/>
              </w:rPr>
            </w:pPr>
            <w:r>
              <w:rPr>
                <w:rFonts w:hint="eastAsia" w:eastAsia="宋体"/>
                <w:bCs/>
                <w:sz w:val="24"/>
                <w:szCs w:val="24"/>
              </w:rPr>
              <w:t>九、城市设计引导</w:t>
            </w:r>
          </w:p>
          <w:p>
            <w:pPr>
              <w:adjustRightInd w:val="0"/>
              <w:snapToGrid w:val="0"/>
              <w:ind w:firstLine="480" w:firstLineChars="200"/>
              <w:rPr>
                <w:rFonts w:eastAsia="宋体"/>
                <w:bCs/>
                <w:sz w:val="24"/>
                <w:szCs w:val="24"/>
              </w:rPr>
            </w:pPr>
            <w:r>
              <w:rPr>
                <w:rFonts w:hint="eastAsia" w:eastAsia="宋体"/>
                <w:bCs/>
                <w:sz w:val="24"/>
                <w:szCs w:val="24"/>
              </w:rPr>
              <w:t>1、开敞空间：营造老沭河、新沭河两侧水绿景观廊道，打造迎宾路—人民路、台州路城市景观轴及苏州路、杭州路和北京路景观廊道，凸显行政中心、苏州路商务研发中心及人民路商业中心等节点空间景观，提升环境品质、强化老城特色。</w:t>
            </w:r>
          </w:p>
          <w:p>
            <w:pPr>
              <w:adjustRightInd w:val="0"/>
              <w:snapToGrid w:val="0"/>
              <w:ind w:firstLine="480" w:firstLineChars="200"/>
              <w:rPr>
                <w:rFonts w:eastAsia="宋体"/>
                <w:bCs/>
                <w:sz w:val="24"/>
                <w:szCs w:val="24"/>
              </w:rPr>
            </w:pPr>
            <w:r>
              <w:rPr>
                <w:rFonts w:hint="eastAsia" w:eastAsia="宋体"/>
                <w:bCs/>
                <w:sz w:val="24"/>
                <w:szCs w:val="24"/>
              </w:rPr>
              <w:t>2、界面控制：重点控制老沭河、新沭河两侧滨水界面，形成退台式、层次丰富的滨水天际轮廓。分类引导街道界面，主干性道路临街建筑界面保证一定长度和体量，宜采用大色块构成，一般性道路宜采用小体量、小尺度形式，控制建筑退线，注重统一变化的街道景观。</w:t>
            </w:r>
          </w:p>
          <w:p>
            <w:pPr>
              <w:adjustRightInd w:val="0"/>
              <w:snapToGrid w:val="0"/>
              <w:ind w:firstLine="480" w:firstLineChars="200"/>
              <w:rPr>
                <w:rFonts w:eastAsia="宋体"/>
                <w:bCs/>
                <w:sz w:val="24"/>
                <w:szCs w:val="24"/>
              </w:rPr>
            </w:pPr>
            <w:r>
              <w:rPr>
                <w:rFonts w:hint="eastAsia" w:eastAsia="宋体"/>
                <w:bCs/>
                <w:sz w:val="24"/>
                <w:szCs w:val="24"/>
              </w:rPr>
              <w:t>3、城市色彩引导：重点表现“古雅城中”的色彩意境。城中片区色彩承担着沭阳县城市色彩总谱中的重彩区域，充分融合传统人文色彩的特质，大块色系宜以简洁的浅色为主，主调色系以棕色系、灰色系和白色系为主。</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本项目污水经预处理后接管至沭阳县城东污水处理厂。</w:t>
            </w:r>
          </w:p>
          <w:p>
            <w:pPr>
              <w:pStyle w:val="25"/>
              <w:ind w:firstLine="480" w:firstLineChars="200"/>
              <w:rPr>
                <w:rFonts w:eastAsia="宋体"/>
                <w:bCs/>
                <w:sz w:val="24"/>
                <w:szCs w:val="24"/>
              </w:rPr>
            </w:pPr>
            <w:r>
              <w:rPr>
                <w:rFonts w:hint="eastAsia" w:eastAsia="宋体"/>
                <w:bCs/>
                <w:sz w:val="24"/>
                <w:szCs w:val="24"/>
              </w:rPr>
              <w:t>沭阳县城东污水处理厂于2013年建设，江苏沭阳县城东污水处理厂采用较为先进的污水处理工艺， 其设计规模为3万立方米/日， 先期日处理规模达到3万立方米/日，项目投资近9456.96万元，沭阳县城东污水处理厂二期位于沭阳经济开发区嘉兴路东侧、海宁路北侧、一期工程北侧。 建设规模：日处理3万吨生活污水工程。</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为改善沂南河水环境，江苏沭阳经济技术开发区、沭阳县水务局、沭阳县环保局对沂南河提出了系统的治理措施：</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（1）沭阳县环保局关停了部分水污染严重的企业，并要求在区所有企业污水及生活污水接入污水管网，对沂南河上游的污水排放量较大的企业要求建立污水处理设施处理达标排放，同时减少产量；</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（2）江苏沭阳经济技术开发区、沭阳县水务局定期对沂南河进行清淤疏浚，同时从淮沭河定期调水，并保证水量大于5m</w:t>
            </w:r>
            <w:r>
              <w:rPr>
                <w:rFonts w:hint="eastAsia" w:eastAsia="宋体"/>
                <w:bCs/>
                <w:sz w:val="24"/>
                <w:szCs w:val="24"/>
                <w:vertAlign w:val="superscript"/>
              </w:rPr>
              <w:t>3</w:t>
            </w:r>
            <w:r>
              <w:rPr>
                <w:rFonts w:hint="eastAsia" w:eastAsia="宋体"/>
                <w:bCs/>
                <w:sz w:val="24"/>
                <w:szCs w:val="24"/>
              </w:rPr>
              <w:t>/s，由此增加了沂南河流量。2010年9月，由县水务局牵头，出资1.4亿元人民币，对沭阳境内32公里长的沂南河进行全面疏浚整治，沂南河通过疏浚整治后，河底宽达35-40米，河口宽达55-60米，河堤宽10 米，经过整治、绿化，沂南河将建成生态景观带。</w:t>
            </w:r>
          </w:p>
          <w:p>
            <w:pPr>
              <w:tabs>
                <w:tab w:val="left" w:pos="360"/>
                <w:tab w:val="left" w:pos="3462"/>
              </w:tabs>
              <w:snapToGrid w:val="0"/>
              <w:ind w:firstLine="480" w:firstLineChars="200"/>
              <w:rPr>
                <w:rFonts w:eastAsia="宋体"/>
                <w:bCs/>
                <w:sz w:val="24"/>
                <w:szCs w:val="24"/>
              </w:rPr>
            </w:pPr>
            <w:r>
              <w:rPr>
                <w:rFonts w:hint="eastAsia" w:eastAsia="宋体"/>
                <w:bCs/>
                <w:sz w:val="24"/>
                <w:szCs w:val="24"/>
              </w:rPr>
              <w:t>经过上述整治措施，根据沭阳县环境监测站例行监测结果表明，沂南河水质近年来得到了很大的改善，目前已稳定达到Ⅳ类水体。</w:t>
            </w:r>
          </w:p>
          <w:p>
            <w:pPr>
              <w:tabs>
                <w:tab w:val="left" w:pos="360"/>
                <w:tab w:val="left" w:pos="3462"/>
              </w:tabs>
              <w:snapToGrid w:val="0"/>
              <w:rPr>
                <w:rFonts w:eastAsia="宋体"/>
                <w:b/>
                <w:sz w:val="24"/>
                <w:szCs w:val="24"/>
              </w:rPr>
            </w:pPr>
            <w:r>
              <w:rPr>
                <w:rFonts w:eastAsia="宋体"/>
                <w:b/>
                <w:sz w:val="24"/>
                <w:szCs w:val="24"/>
              </w:rPr>
              <w:t>2.</w:t>
            </w:r>
            <w:r>
              <w:rPr>
                <w:rFonts w:hint="eastAsia" w:eastAsia="宋体"/>
                <w:b/>
                <w:sz w:val="24"/>
                <w:szCs w:val="24"/>
              </w:rPr>
              <w:t>3</w:t>
            </w:r>
            <w:r>
              <w:rPr>
                <w:rFonts w:eastAsia="宋体"/>
                <w:b/>
                <w:sz w:val="24"/>
                <w:szCs w:val="24"/>
              </w:rPr>
              <w:t>环境功能划分</w:t>
            </w:r>
          </w:p>
          <w:p>
            <w:pPr>
              <w:pStyle w:val="25"/>
              <w:ind w:firstLine="240"/>
              <w:rPr>
                <w:rFonts w:eastAsia="宋体"/>
                <w:bCs/>
                <w:sz w:val="24"/>
                <w:szCs w:val="24"/>
              </w:rPr>
            </w:pPr>
            <w:r>
              <w:rPr>
                <w:rFonts w:eastAsia="宋体"/>
                <w:bCs/>
                <w:sz w:val="24"/>
                <w:szCs w:val="24"/>
              </w:rPr>
              <w:t>区域环境功能划分见表2</w:t>
            </w:r>
            <w:r>
              <w:rPr>
                <w:rFonts w:hint="eastAsia" w:eastAsia="宋体"/>
                <w:bCs/>
                <w:sz w:val="24"/>
                <w:szCs w:val="24"/>
                <w:lang w:val="en-US" w:eastAsia="zh-CN"/>
              </w:rPr>
              <w:t>-2</w:t>
            </w:r>
            <w:r>
              <w:rPr>
                <w:rFonts w:eastAsia="宋体"/>
                <w:bCs/>
                <w:sz w:val="24"/>
                <w:szCs w:val="24"/>
              </w:rPr>
              <w:t>。</w:t>
            </w:r>
          </w:p>
          <w:p>
            <w:pPr>
              <w:pStyle w:val="25"/>
              <w:snapToGrid w:val="0"/>
              <w:spacing w:after="0"/>
              <w:ind w:firstLine="0" w:firstLineChars="0"/>
              <w:jc w:val="center"/>
              <w:rPr>
                <w:rFonts w:eastAsia="宋体"/>
                <w:b/>
                <w:bCs/>
                <w:sz w:val="24"/>
                <w:szCs w:val="24"/>
              </w:rPr>
            </w:pPr>
            <w:r>
              <w:rPr>
                <w:rFonts w:eastAsia="宋体"/>
                <w:b/>
                <w:bCs/>
                <w:sz w:val="24"/>
                <w:szCs w:val="24"/>
              </w:rPr>
              <w:t>表2</w:t>
            </w:r>
            <w:r>
              <w:rPr>
                <w:rFonts w:hint="eastAsia" w:eastAsia="宋体"/>
                <w:b/>
                <w:bCs/>
                <w:sz w:val="24"/>
                <w:szCs w:val="24"/>
                <w:lang w:val="en-US" w:eastAsia="zh-CN"/>
              </w:rPr>
              <w:t>-2</w:t>
            </w:r>
            <w:r>
              <w:rPr>
                <w:rFonts w:eastAsia="宋体"/>
                <w:b/>
                <w:bCs/>
                <w:sz w:val="24"/>
                <w:szCs w:val="24"/>
              </w:rPr>
              <w:t xml:space="preserve"> 环境功能区划一览表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2510"/>
              <w:gridCol w:w="3062"/>
              <w:gridCol w:w="2734"/>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567" w:hRule="atLeast"/>
                <w:jc w:val="center"/>
              </w:trPr>
              <w:tc>
                <w:tcPr>
                  <w:tcW w:w="25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大气环境</w:t>
                  </w:r>
                </w:p>
              </w:tc>
              <w:tc>
                <w:tcPr>
                  <w:tcW w:w="30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地表水环境</w:t>
                  </w:r>
                </w:p>
              </w:tc>
              <w:tc>
                <w:tcPr>
                  <w:tcW w:w="27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声环境</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1426" w:hRule="atLeast"/>
                <w:jc w:val="center"/>
              </w:trPr>
              <w:tc>
                <w:tcPr>
                  <w:tcW w:w="251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执行《环境空气质量标准》（GB3095-2012）中二类</w:t>
                  </w:r>
                  <w:r>
                    <w:rPr>
                      <w:rFonts w:hint="eastAsia" w:eastAsia="宋体"/>
                      <w:sz w:val="21"/>
                      <w:szCs w:val="21"/>
                    </w:rPr>
                    <w:t>区</w:t>
                  </w:r>
                  <w:r>
                    <w:rPr>
                      <w:rFonts w:eastAsia="宋体"/>
                      <w:sz w:val="21"/>
                      <w:szCs w:val="21"/>
                    </w:rPr>
                    <w:t>标准</w:t>
                  </w:r>
                </w:p>
              </w:tc>
              <w:tc>
                <w:tcPr>
                  <w:tcW w:w="306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本项目纳污河流沂南河</w:t>
                  </w:r>
                  <w:r>
                    <w:rPr>
                      <w:rFonts w:eastAsia="宋体"/>
                      <w:sz w:val="21"/>
                      <w:szCs w:val="21"/>
                    </w:rPr>
                    <w:t>执行《地表水环境质量标准》（GB3838-2002）</w:t>
                  </w:r>
                  <w:r>
                    <w:rPr>
                      <w:rFonts w:hint="eastAsia" w:eastAsia="宋体"/>
                      <w:sz w:val="21"/>
                      <w:szCs w:val="21"/>
                    </w:rPr>
                    <w:t>IV</w:t>
                  </w:r>
                  <w:r>
                    <w:rPr>
                      <w:rFonts w:eastAsia="宋体"/>
                      <w:sz w:val="21"/>
                      <w:szCs w:val="21"/>
                    </w:rPr>
                    <w:t>类水标准</w:t>
                  </w:r>
                </w:p>
              </w:tc>
              <w:tc>
                <w:tcPr>
                  <w:tcW w:w="27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执行《声环境质量标</w:t>
                  </w:r>
                  <w:r>
                    <w:rPr>
                      <w:rFonts w:hint="eastAsia" w:eastAsia="宋体"/>
                      <w:sz w:val="21"/>
                      <w:szCs w:val="21"/>
                    </w:rPr>
                    <w:t>准</w:t>
                  </w:r>
                  <w:r>
                    <w:rPr>
                      <w:rFonts w:eastAsia="宋体"/>
                      <w:sz w:val="21"/>
                      <w:szCs w:val="21"/>
                    </w:rPr>
                    <w:t>》（GB3096-2008）中</w:t>
                  </w:r>
                  <w:r>
                    <w:rPr>
                      <w:rFonts w:hint="eastAsia" w:eastAsia="宋体"/>
                      <w:sz w:val="21"/>
                      <w:szCs w:val="21"/>
                    </w:rPr>
                    <w:t>2</w:t>
                  </w:r>
                  <w:r>
                    <w:rPr>
                      <w:rFonts w:eastAsia="宋体"/>
                      <w:sz w:val="21"/>
                      <w:szCs w:val="21"/>
                    </w:rPr>
                    <w:t>类标准</w:t>
                  </w:r>
                </w:p>
              </w:tc>
            </w:tr>
          </w:tbl>
          <w:p>
            <w:pPr>
              <w:adjustRightInd w:val="0"/>
              <w:snapToGrid w:val="0"/>
              <w:rPr>
                <w:rFonts w:eastAsia="宋体"/>
                <w:szCs w:val="24"/>
              </w:rPr>
            </w:pPr>
          </w:p>
        </w:tc>
      </w:tr>
    </w:tbl>
    <w:p>
      <w:pPr>
        <w:rPr>
          <w:rFonts w:eastAsia="宋体"/>
          <w:b/>
          <w:szCs w:val="28"/>
        </w:rPr>
      </w:pPr>
      <w:r>
        <w:rPr>
          <w:rFonts w:eastAsia="宋体"/>
          <w:b/>
          <w:szCs w:val="28"/>
        </w:rPr>
        <w:br w:type="page"/>
      </w:r>
    </w:p>
    <w:p>
      <w:pPr>
        <w:pStyle w:val="10"/>
        <w:spacing w:line="400" w:lineRule="exact"/>
        <w:outlineLvl w:val="0"/>
        <w:rPr>
          <w:rFonts w:eastAsia="宋体"/>
          <w:b/>
          <w:sz w:val="28"/>
          <w:szCs w:val="28"/>
        </w:rPr>
      </w:pPr>
      <w:r>
        <w:rPr>
          <w:rFonts w:eastAsia="宋体"/>
          <w:b/>
          <w:sz w:val="28"/>
          <w:szCs w:val="28"/>
        </w:rPr>
        <w:t>三、环境质量状况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071" w:type="dxa"/>
          </w:tcPr>
          <w:p>
            <w:pPr>
              <w:pStyle w:val="20"/>
              <w:spacing w:line="320" w:lineRule="exact"/>
              <w:rPr>
                <w:rFonts w:ascii="Times New Roman" w:eastAsia="宋体"/>
                <w:szCs w:val="24"/>
              </w:rPr>
            </w:pPr>
            <w:r>
              <w:rPr>
                <w:rFonts w:ascii="Times New Roman" w:eastAsia="宋体"/>
                <w:b/>
                <w:bCs/>
                <w:sz w:val="24"/>
                <w:szCs w:val="24"/>
              </w:rPr>
              <w:t>项目所在地区域环境质量现状及主要环境问题（环境空气、地面水、地下水、声环境、辐射环境、生态环境等）：</w:t>
            </w:r>
          </w:p>
          <w:p>
            <w:pPr>
              <w:snapToGrid w:val="0"/>
              <w:spacing w:before="120" w:beforeLines="50" w:after="120" w:afterLines="50"/>
              <w:rPr>
                <w:rFonts w:eastAsia="宋体"/>
                <w:b/>
                <w:sz w:val="24"/>
                <w:szCs w:val="24"/>
              </w:rPr>
            </w:pPr>
            <w:r>
              <w:rPr>
                <w:rFonts w:eastAsia="宋体"/>
                <w:b/>
                <w:sz w:val="24"/>
                <w:szCs w:val="24"/>
              </w:rPr>
              <w:t>3.1环境空气质量现状调查</w:t>
            </w:r>
          </w:p>
          <w:p>
            <w:pPr>
              <w:snapToGrid w:val="0"/>
              <w:ind w:firstLine="480" w:firstLineChars="200"/>
              <w:rPr>
                <w:rFonts w:eastAsia="宋体"/>
                <w:bCs/>
                <w:sz w:val="24"/>
                <w:szCs w:val="24"/>
              </w:rPr>
            </w:pPr>
            <w:r>
              <w:rPr>
                <w:rFonts w:hint="eastAsia" w:eastAsia="宋体"/>
                <w:bCs/>
                <w:sz w:val="24"/>
                <w:szCs w:val="24"/>
              </w:rPr>
              <w:t>本次评价选取2018年作为评价基准年，根据《2018 年沭阳县环境质量报告书》，</w:t>
            </w:r>
          </w:p>
          <w:p>
            <w:pPr>
              <w:snapToGrid w:val="0"/>
              <w:rPr>
                <w:rFonts w:eastAsia="宋体"/>
                <w:bCs/>
                <w:sz w:val="24"/>
                <w:szCs w:val="24"/>
              </w:rPr>
            </w:pPr>
            <w:r>
              <w:rPr>
                <w:rFonts w:hint="eastAsia" w:eastAsia="宋体"/>
                <w:bCs/>
                <w:sz w:val="24"/>
                <w:szCs w:val="24"/>
              </w:rPr>
              <w:t>项目所在区域沭阳县各评价因子数据见表 3-1。</w:t>
            </w:r>
          </w:p>
          <w:p>
            <w:pPr>
              <w:snapToGrid w:val="0"/>
              <w:spacing w:line="240" w:lineRule="auto"/>
              <w:jc w:val="center"/>
              <w:rPr>
                <w:rFonts w:eastAsia="宋体"/>
                <w:b/>
                <w:sz w:val="24"/>
                <w:szCs w:val="24"/>
              </w:rPr>
            </w:pPr>
            <w:r>
              <w:rPr>
                <w:rFonts w:hint="eastAsia" w:eastAsia="宋体"/>
                <w:b/>
                <w:sz w:val="24"/>
                <w:szCs w:val="24"/>
              </w:rPr>
              <w:t>表 3-1 空气环境质量现状</w:t>
            </w:r>
          </w:p>
          <w:tbl>
            <w:tblPr>
              <w:tblStyle w:val="29"/>
              <w:tblW w:w="88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633"/>
              <w:gridCol w:w="1476"/>
              <w:gridCol w:w="1476"/>
              <w:gridCol w:w="1476"/>
              <w:gridCol w:w="14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评价因子</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平均时段</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现状浓度</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标准值</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超标倍数</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SO</w:t>
                  </w:r>
                  <w:r>
                    <w:rPr>
                      <w:rFonts w:hint="eastAsia" w:eastAsia="宋体"/>
                      <w:bCs/>
                      <w:sz w:val="21"/>
                      <w:szCs w:val="21"/>
                      <w:vertAlign w:val="subscript"/>
                    </w:rPr>
                    <w:t>2</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23</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60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NO</w:t>
                  </w:r>
                  <w:r>
                    <w:rPr>
                      <w:rFonts w:hint="eastAsia" w:eastAsia="宋体"/>
                      <w:bCs/>
                      <w:sz w:val="21"/>
                      <w:szCs w:val="21"/>
                      <w:vertAlign w:val="subscript"/>
                    </w:rPr>
                    <w:t>X</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21</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PM</w:t>
                  </w:r>
                  <w:r>
                    <w:rPr>
                      <w:rFonts w:hint="eastAsia" w:eastAsia="宋体"/>
                      <w:bCs/>
                      <w:sz w:val="21"/>
                      <w:szCs w:val="21"/>
                      <w:vertAlign w:val="subscript"/>
                    </w:rPr>
                    <w:t>10</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76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70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0.086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PM</w:t>
                  </w:r>
                  <w:r>
                    <w:rPr>
                      <w:rFonts w:hint="eastAsia" w:eastAsia="宋体"/>
                      <w:bCs/>
                      <w:sz w:val="21"/>
                      <w:szCs w:val="21"/>
                      <w:vertAlign w:val="subscript"/>
                    </w:rPr>
                    <w:t>2.5</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年平均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35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0.286</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O</w:t>
                  </w:r>
                  <w:r>
                    <w:rPr>
                      <w:rFonts w:hint="eastAsia" w:eastAsia="宋体"/>
                      <w:bCs/>
                      <w:sz w:val="21"/>
                      <w:szCs w:val="21"/>
                      <w:vertAlign w:val="subscript"/>
                    </w:rPr>
                    <w:t>3</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8小时平均</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65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160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CO</w:t>
                  </w:r>
                </w:p>
              </w:tc>
              <w:tc>
                <w:tcPr>
                  <w:tcW w:w="1633"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24小时平均值</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1.395</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4</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0</w:t>
                  </w:r>
                </w:p>
              </w:tc>
              <w:tc>
                <w:tcPr>
                  <w:tcW w:w="1476" w:type="dxa"/>
                  <w:tcBorders>
                    <w:tl2br w:val="nil"/>
                    <w:tr2bl w:val="nil"/>
                  </w:tcBorders>
                </w:tcPr>
                <w:p>
                  <w:pPr>
                    <w:snapToGrid w:val="0"/>
                    <w:spacing w:line="240" w:lineRule="auto"/>
                    <w:jc w:val="center"/>
                    <w:rPr>
                      <w:rFonts w:eastAsia="宋体"/>
                      <w:bCs/>
                      <w:sz w:val="21"/>
                      <w:szCs w:val="21"/>
                    </w:rPr>
                  </w:pPr>
                  <w:r>
                    <w:rPr>
                      <w:rFonts w:hint="eastAsia" w:eastAsia="宋体"/>
                      <w:bCs/>
                      <w:sz w:val="21"/>
                      <w:szCs w:val="21"/>
                    </w:rPr>
                    <w:t>达标</w:t>
                  </w:r>
                </w:p>
              </w:tc>
            </w:tr>
          </w:tbl>
          <w:p>
            <w:pPr>
              <w:snapToGrid w:val="0"/>
              <w:rPr>
                <w:rFonts w:eastAsia="宋体"/>
                <w:b/>
                <w:sz w:val="21"/>
                <w:szCs w:val="21"/>
              </w:rPr>
            </w:pPr>
            <w:r>
              <w:rPr>
                <w:rFonts w:hint="eastAsia" w:eastAsia="宋体"/>
                <w:b/>
                <w:sz w:val="21"/>
                <w:szCs w:val="21"/>
              </w:rPr>
              <w:t>注：数值单位μg/m</w:t>
            </w:r>
            <w:r>
              <w:rPr>
                <w:rFonts w:hint="eastAsia" w:eastAsia="宋体"/>
                <w:b/>
                <w:sz w:val="21"/>
                <w:szCs w:val="21"/>
                <w:vertAlign w:val="superscript"/>
              </w:rPr>
              <w:t>3</w:t>
            </w:r>
            <w:r>
              <w:rPr>
                <w:rFonts w:hint="eastAsia" w:eastAsia="宋体"/>
                <w:b/>
                <w:sz w:val="21"/>
                <w:szCs w:val="21"/>
              </w:rPr>
              <w:t>(CO为mg/m</w:t>
            </w:r>
            <w:r>
              <w:rPr>
                <w:rFonts w:hint="eastAsia" w:eastAsia="宋体"/>
                <w:b/>
                <w:sz w:val="21"/>
                <w:szCs w:val="21"/>
                <w:vertAlign w:val="superscript"/>
              </w:rPr>
              <w:t>3</w:t>
            </w:r>
            <w:r>
              <w:rPr>
                <w:rFonts w:hint="eastAsia" w:eastAsia="宋体"/>
                <w:b/>
                <w:sz w:val="21"/>
                <w:szCs w:val="21"/>
              </w:rPr>
              <w:t>)。</w:t>
            </w:r>
          </w:p>
          <w:p>
            <w:pPr>
              <w:snapToGrid w:val="0"/>
              <w:ind w:firstLine="480" w:firstLineChars="200"/>
              <w:rPr>
                <w:rFonts w:eastAsia="宋体"/>
                <w:bCs/>
                <w:sz w:val="24"/>
                <w:szCs w:val="24"/>
              </w:rPr>
            </w:pPr>
            <w:r>
              <w:rPr>
                <w:rFonts w:hint="eastAsia" w:eastAsia="宋体"/>
                <w:bCs/>
                <w:sz w:val="24"/>
                <w:szCs w:val="24"/>
              </w:rPr>
              <w:t>2018年沭阳县环境空气中二氧化硫的年均值、二氧化氮的年均值、O</w:t>
            </w:r>
            <w:r>
              <w:rPr>
                <w:rFonts w:hint="eastAsia" w:eastAsia="宋体"/>
                <w:bCs/>
                <w:sz w:val="24"/>
                <w:szCs w:val="24"/>
                <w:vertAlign w:val="subscript"/>
              </w:rPr>
              <w:t>3</w:t>
            </w:r>
            <w:r>
              <w:rPr>
                <w:rFonts w:hint="eastAsia" w:eastAsia="宋体"/>
                <w:bCs/>
                <w:sz w:val="24"/>
                <w:szCs w:val="24"/>
              </w:rPr>
              <w:t>的8小时平均、CO的24小时平均值，可达到《环境空气质量标准》（GB3095-2012）二级标准；PM10的年均值、PM2.5 的年均值，超过《环境空气质量标准》（GB3095-2012）二级标准，超标倍数分别为 0.086倍、0.286倍。项目所在区域PM10、PM2.5超标，因此判定为不达标区。</w:t>
            </w:r>
          </w:p>
          <w:p>
            <w:pPr>
              <w:snapToGrid w:val="0"/>
              <w:ind w:firstLine="480" w:firstLineChars="200"/>
              <w:rPr>
                <w:rFonts w:eastAsia="宋体"/>
                <w:bCs/>
                <w:sz w:val="24"/>
                <w:szCs w:val="24"/>
              </w:rPr>
            </w:pPr>
            <w:r>
              <w:rPr>
                <w:rFonts w:hint="eastAsia" w:eastAsia="宋体"/>
                <w:bCs/>
                <w:sz w:val="24"/>
                <w:szCs w:val="24"/>
              </w:rPr>
              <w:t>县政府办公室关于印发《沭阳县2019年大气、水、土壤及危险废物污染防治工作方案》的通知（沭政办发﹝2019﹞46号），以产业结构优化调整、能源结构调整、运输结构调整、用地结构调整为突破口，全面推进面源污染治理、重点行业深度减排、VOCS污染治理和污染天气应急管控，全力提升大气污染管控能力建设，推进完成大气污染防治工程项目142项，确保全面实现空气质量约束性目标。</w:t>
            </w:r>
          </w:p>
          <w:p>
            <w:pPr>
              <w:snapToGrid w:val="0"/>
              <w:rPr>
                <w:rFonts w:eastAsia="宋体"/>
                <w:b/>
                <w:sz w:val="24"/>
                <w:szCs w:val="24"/>
              </w:rPr>
            </w:pPr>
            <w:r>
              <w:rPr>
                <w:rFonts w:eastAsia="宋体"/>
                <w:b/>
                <w:sz w:val="24"/>
                <w:szCs w:val="24"/>
              </w:rPr>
              <w:t>3.2水环境质量现状调查</w:t>
            </w:r>
          </w:p>
          <w:p>
            <w:pPr>
              <w:snapToGrid w:val="0"/>
              <w:ind w:firstLine="480" w:firstLineChars="200"/>
              <w:rPr>
                <w:rFonts w:eastAsia="宋体"/>
                <w:color w:val="000000"/>
                <w:sz w:val="24"/>
                <w:szCs w:val="24"/>
              </w:rPr>
            </w:pPr>
            <w:r>
              <w:rPr>
                <w:rFonts w:hint="eastAsia" w:eastAsia="宋体"/>
                <w:color w:val="000000"/>
                <w:sz w:val="24"/>
                <w:szCs w:val="24"/>
              </w:rPr>
              <w:t>根据《2018 年沭阳县环境状况公报》，2018 年全县境内的新沂河、沂南河、沭河、柴米河、古泊河、古泊善后河、蔷薇河、北六塘河共九条河流的 21 个断面开展了地表水水质监测。全县水环境质量略有变化，主要河流水质均呈现清洁级。</w:t>
            </w:r>
          </w:p>
          <w:p>
            <w:pPr>
              <w:snapToGrid w:val="0"/>
              <w:ind w:firstLine="480" w:firstLineChars="200"/>
              <w:rPr>
                <w:rFonts w:eastAsia="宋体"/>
                <w:color w:val="000000"/>
                <w:sz w:val="24"/>
                <w:szCs w:val="24"/>
              </w:rPr>
            </w:pPr>
            <w:r>
              <w:rPr>
                <w:rFonts w:hint="eastAsia" w:eastAsia="宋体"/>
                <w:color w:val="000000"/>
                <w:sz w:val="24"/>
                <w:szCs w:val="24"/>
              </w:rPr>
              <w:t>建设项目纳污河流为沂南河。根据沭阳县环境监测站2018年的监测数据，沂南河主要水质指标达到《地表水环境质量标准》(GB3838-2002)中Ⅳ类标准要求。</w:t>
            </w:r>
          </w:p>
          <w:p>
            <w:pPr>
              <w:snapToGrid w:val="0"/>
              <w:rPr>
                <w:rFonts w:eastAsia="宋体"/>
                <w:b/>
                <w:sz w:val="24"/>
                <w:szCs w:val="24"/>
              </w:rPr>
            </w:pPr>
            <w:r>
              <w:rPr>
                <w:rFonts w:eastAsia="宋体"/>
                <w:b/>
                <w:sz w:val="24"/>
                <w:szCs w:val="24"/>
              </w:rPr>
              <w:t>3.3声环境质量现状调查</w:t>
            </w:r>
          </w:p>
          <w:p>
            <w:pPr>
              <w:snapToGrid w:val="0"/>
              <w:ind w:firstLine="480" w:firstLineChars="200"/>
              <w:rPr>
                <w:rFonts w:eastAsia="宋体"/>
                <w:sz w:val="24"/>
                <w:szCs w:val="24"/>
              </w:rPr>
            </w:pPr>
            <w:r>
              <w:rPr>
                <w:rFonts w:hint="eastAsia" w:eastAsia="宋体"/>
                <w:sz w:val="24"/>
                <w:szCs w:val="24"/>
              </w:rPr>
              <w:t>根据沭阳县2018年6期环境监测简报，项目所在地区的声环境良好，本区域声环境质量符合《声环境质量标准》（GB3096-2008）2类声环境功能区标准。</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4</w:t>
            </w:r>
            <w:r>
              <w:rPr>
                <w:rFonts w:eastAsia="宋体"/>
                <w:b/>
                <w:sz w:val="24"/>
                <w:szCs w:val="24"/>
              </w:rPr>
              <w:t>辐射环境和生态环境</w:t>
            </w:r>
          </w:p>
          <w:p>
            <w:pPr>
              <w:snapToGrid w:val="0"/>
              <w:ind w:firstLine="480" w:firstLineChars="200"/>
              <w:rPr>
                <w:rFonts w:eastAsia="宋体"/>
                <w:sz w:val="24"/>
                <w:szCs w:val="24"/>
              </w:rPr>
            </w:pPr>
            <w:r>
              <w:rPr>
                <w:rFonts w:eastAsia="宋体"/>
                <w:sz w:val="24"/>
                <w:szCs w:val="24"/>
              </w:rPr>
              <w:t>建设项目所在地无不良辐射和生态环境影响。</w:t>
            </w:r>
          </w:p>
          <w:p>
            <w:pPr>
              <w:tabs>
                <w:tab w:val="left" w:pos="2790"/>
              </w:tabs>
              <w:snapToGrid w:val="0"/>
              <w:rPr>
                <w:rFonts w:eastAsia="宋体"/>
                <w:b/>
                <w:sz w:val="24"/>
                <w:szCs w:val="24"/>
              </w:rPr>
            </w:pPr>
            <w:r>
              <w:rPr>
                <w:rFonts w:eastAsia="宋体"/>
                <w:b/>
                <w:sz w:val="24"/>
                <w:szCs w:val="24"/>
              </w:rPr>
              <w:t>3.</w:t>
            </w:r>
            <w:r>
              <w:rPr>
                <w:rFonts w:hint="eastAsia" w:eastAsia="宋体"/>
                <w:b/>
                <w:sz w:val="24"/>
                <w:szCs w:val="24"/>
              </w:rPr>
              <w:t>5</w:t>
            </w:r>
            <w:r>
              <w:rPr>
                <w:rFonts w:eastAsia="宋体"/>
                <w:b/>
                <w:sz w:val="24"/>
                <w:szCs w:val="24"/>
              </w:rPr>
              <w:t>主要环境保护目标（列出名单及保护级别）</w:t>
            </w:r>
          </w:p>
          <w:p>
            <w:pPr>
              <w:widowControl w:val="0"/>
              <w:adjustRightInd w:val="0"/>
              <w:snapToGrid w:val="0"/>
              <w:ind w:firstLine="480" w:firstLineChars="200"/>
              <w:rPr>
                <w:rFonts w:eastAsia="宋体"/>
                <w:bCs/>
                <w:sz w:val="24"/>
                <w:szCs w:val="24"/>
              </w:rPr>
            </w:pPr>
            <w:r>
              <w:rPr>
                <w:rFonts w:hint="eastAsia" w:eastAsia="宋体"/>
                <w:bCs/>
                <w:sz w:val="24"/>
                <w:szCs w:val="24"/>
              </w:rPr>
              <w:t>建设项目位于宿迁市沭阳县台州路东侧与京沪高速交叉口南侧，根据评价工作等级的判据，确定大气评价等级为二级，二级评价不进行进一步预测与评价，只对污染物排放量进行核算。评价范围为以厂址为中心，边长为5km的矩形区域。</w:t>
            </w:r>
          </w:p>
          <w:p>
            <w:pPr>
              <w:widowControl w:val="0"/>
              <w:adjustRightInd w:val="0"/>
              <w:snapToGrid w:val="0"/>
              <w:ind w:firstLine="480" w:firstLineChars="200"/>
              <w:rPr>
                <w:rFonts w:eastAsia="宋体"/>
                <w:bCs/>
                <w:sz w:val="24"/>
                <w:szCs w:val="24"/>
              </w:rPr>
            </w:pPr>
            <w:r>
              <w:rPr>
                <w:rFonts w:hint="eastAsia" w:eastAsia="宋体"/>
                <w:bCs/>
                <w:sz w:val="24"/>
                <w:szCs w:val="24"/>
              </w:rPr>
              <w:t>根据项目所在声环境功能区划、项目噪声影响程度及周边敏感点分布，声环境评价范围为厂区周边200m。</w:t>
            </w:r>
          </w:p>
          <w:p>
            <w:pPr>
              <w:widowControl w:val="0"/>
              <w:adjustRightInd w:val="0"/>
              <w:snapToGrid w:val="0"/>
              <w:ind w:firstLine="480" w:firstLineChars="200"/>
              <w:rPr>
                <w:rFonts w:eastAsia="宋体"/>
                <w:bCs/>
                <w:sz w:val="24"/>
                <w:szCs w:val="24"/>
              </w:rPr>
            </w:pPr>
            <w:r>
              <w:rPr>
                <w:rFonts w:hint="eastAsia" w:eastAsia="宋体"/>
                <w:bCs/>
                <w:sz w:val="24"/>
                <w:szCs w:val="24"/>
              </w:rPr>
              <w:t>结合现场周边情况，确定项目周边主要环境保护目标见表3-3和表3-4。</w:t>
            </w:r>
          </w:p>
          <w:p>
            <w:pPr>
              <w:widowControl w:val="0"/>
              <w:snapToGrid w:val="0"/>
              <w:jc w:val="center"/>
              <w:rPr>
                <w:rFonts w:eastAsia="宋体"/>
                <w:b/>
                <w:sz w:val="24"/>
                <w:szCs w:val="24"/>
              </w:rPr>
            </w:pPr>
            <w:r>
              <w:rPr>
                <w:rFonts w:eastAsia="宋体"/>
                <w:b/>
                <w:sz w:val="24"/>
                <w:szCs w:val="24"/>
              </w:rPr>
              <w:t>表3-</w:t>
            </w:r>
            <w:r>
              <w:rPr>
                <w:rFonts w:hint="eastAsia" w:eastAsia="宋体"/>
                <w:b/>
                <w:sz w:val="24"/>
                <w:szCs w:val="24"/>
              </w:rPr>
              <w:t>3</w:t>
            </w:r>
            <w:r>
              <w:rPr>
                <w:rFonts w:eastAsia="宋体"/>
                <w:b/>
                <w:sz w:val="24"/>
                <w:szCs w:val="24"/>
              </w:rPr>
              <w:t>环境</w:t>
            </w:r>
            <w:r>
              <w:rPr>
                <w:rFonts w:hint="eastAsia" w:eastAsia="宋体"/>
                <w:b/>
                <w:sz w:val="24"/>
                <w:szCs w:val="24"/>
              </w:rPr>
              <w:t>空气</w:t>
            </w:r>
            <w:r>
              <w:rPr>
                <w:rFonts w:eastAsia="宋体"/>
                <w:b/>
                <w:sz w:val="24"/>
                <w:szCs w:val="24"/>
              </w:rPr>
              <w:t>保护目标一览表</w:t>
            </w:r>
          </w:p>
          <w:tbl>
            <w:tblPr>
              <w:tblStyle w:val="28"/>
              <w:tblW w:w="5000" w:type="pct"/>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Layout w:type="fixed"/>
              <w:tblCellMar>
                <w:top w:w="0" w:type="dxa"/>
                <w:left w:w="57" w:type="dxa"/>
                <w:bottom w:w="0" w:type="dxa"/>
                <w:right w:w="57" w:type="dxa"/>
              </w:tblCellMar>
            </w:tblPr>
            <w:tblGrid>
              <w:gridCol w:w="2490"/>
              <w:gridCol w:w="1138"/>
              <w:gridCol w:w="1029"/>
              <w:gridCol w:w="1094"/>
              <w:gridCol w:w="1117"/>
              <w:gridCol w:w="873"/>
              <w:gridCol w:w="1114"/>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312" w:hRule="atLeast"/>
              </w:trPr>
              <w:tc>
                <w:tcPr>
                  <w:tcW w:w="2490"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名称</w:t>
                  </w:r>
                </w:p>
              </w:tc>
              <w:tc>
                <w:tcPr>
                  <w:tcW w:w="1138"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保护对象</w:t>
                  </w:r>
                </w:p>
              </w:tc>
              <w:tc>
                <w:tcPr>
                  <w:tcW w:w="1029"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保护内容</w:t>
                  </w:r>
                </w:p>
              </w:tc>
              <w:tc>
                <w:tcPr>
                  <w:tcW w:w="1094"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环境功能区</w:t>
                  </w:r>
                </w:p>
              </w:tc>
              <w:tc>
                <w:tcPr>
                  <w:tcW w:w="1117"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规模（人）</w:t>
                  </w:r>
                </w:p>
              </w:tc>
              <w:tc>
                <w:tcPr>
                  <w:tcW w:w="873"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相对方位</w:t>
                  </w:r>
                </w:p>
              </w:tc>
              <w:tc>
                <w:tcPr>
                  <w:tcW w:w="1114" w:type="dxa"/>
                  <w:vMerge w:val="restart"/>
                  <w:vAlign w:val="center"/>
                </w:tcPr>
                <w:p>
                  <w:pPr>
                    <w:widowControl w:val="0"/>
                    <w:spacing w:line="240" w:lineRule="auto"/>
                    <w:jc w:val="center"/>
                    <w:rPr>
                      <w:rFonts w:eastAsiaTheme="minorEastAsia"/>
                      <w:sz w:val="21"/>
                      <w:szCs w:val="24"/>
                    </w:rPr>
                  </w:pPr>
                  <w:r>
                    <w:rPr>
                      <w:rFonts w:eastAsiaTheme="minorEastAsia"/>
                      <w:sz w:val="21"/>
                      <w:szCs w:val="24"/>
                    </w:rPr>
                    <w:t>相对最近距离/m</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312" w:hRule="atLeast"/>
              </w:trPr>
              <w:tc>
                <w:tcPr>
                  <w:tcW w:w="2490" w:type="dxa"/>
                  <w:vMerge w:val="continue"/>
                  <w:vAlign w:val="center"/>
                </w:tcPr>
                <w:p>
                  <w:pPr>
                    <w:widowControl w:val="0"/>
                    <w:spacing w:line="240" w:lineRule="auto"/>
                    <w:jc w:val="center"/>
                    <w:rPr>
                      <w:rFonts w:eastAsiaTheme="minorEastAsia"/>
                      <w:sz w:val="21"/>
                      <w:szCs w:val="24"/>
                    </w:rPr>
                  </w:pPr>
                </w:p>
              </w:tc>
              <w:tc>
                <w:tcPr>
                  <w:tcW w:w="1138" w:type="dxa"/>
                  <w:vMerge w:val="continue"/>
                  <w:vAlign w:val="center"/>
                </w:tcPr>
                <w:p>
                  <w:pPr>
                    <w:widowControl w:val="0"/>
                    <w:spacing w:line="240" w:lineRule="auto"/>
                    <w:jc w:val="center"/>
                    <w:rPr>
                      <w:rFonts w:eastAsiaTheme="minorEastAsia"/>
                      <w:sz w:val="21"/>
                      <w:szCs w:val="24"/>
                    </w:rPr>
                  </w:pPr>
                </w:p>
              </w:tc>
              <w:tc>
                <w:tcPr>
                  <w:tcW w:w="1029" w:type="dxa"/>
                  <w:vMerge w:val="continue"/>
                  <w:vAlign w:val="center"/>
                </w:tcPr>
                <w:p>
                  <w:pPr>
                    <w:widowControl w:val="0"/>
                    <w:spacing w:line="240" w:lineRule="auto"/>
                    <w:jc w:val="center"/>
                    <w:rPr>
                      <w:rFonts w:eastAsiaTheme="minorEastAsia"/>
                      <w:sz w:val="21"/>
                      <w:szCs w:val="24"/>
                    </w:rPr>
                  </w:pPr>
                </w:p>
              </w:tc>
              <w:tc>
                <w:tcPr>
                  <w:tcW w:w="1094" w:type="dxa"/>
                  <w:vMerge w:val="continue"/>
                  <w:vAlign w:val="center"/>
                </w:tcPr>
                <w:p>
                  <w:pPr>
                    <w:widowControl w:val="0"/>
                    <w:spacing w:line="240" w:lineRule="auto"/>
                    <w:jc w:val="center"/>
                    <w:rPr>
                      <w:rFonts w:eastAsiaTheme="minorEastAsia"/>
                      <w:sz w:val="21"/>
                      <w:szCs w:val="24"/>
                    </w:rPr>
                  </w:pPr>
                </w:p>
              </w:tc>
              <w:tc>
                <w:tcPr>
                  <w:tcW w:w="1117" w:type="dxa"/>
                  <w:vMerge w:val="continue"/>
                  <w:vAlign w:val="center"/>
                </w:tcPr>
                <w:p>
                  <w:pPr>
                    <w:widowControl w:val="0"/>
                    <w:spacing w:line="240" w:lineRule="auto"/>
                    <w:jc w:val="center"/>
                    <w:rPr>
                      <w:rFonts w:eastAsiaTheme="minorEastAsia"/>
                      <w:sz w:val="21"/>
                      <w:szCs w:val="24"/>
                    </w:rPr>
                  </w:pPr>
                </w:p>
              </w:tc>
              <w:tc>
                <w:tcPr>
                  <w:tcW w:w="873" w:type="dxa"/>
                  <w:vMerge w:val="continue"/>
                  <w:vAlign w:val="center"/>
                </w:tcPr>
                <w:p>
                  <w:pPr>
                    <w:widowControl w:val="0"/>
                    <w:spacing w:line="240" w:lineRule="auto"/>
                    <w:jc w:val="center"/>
                    <w:rPr>
                      <w:rFonts w:eastAsiaTheme="minorEastAsia"/>
                      <w:sz w:val="21"/>
                      <w:szCs w:val="24"/>
                    </w:rPr>
                  </w:pPr>
                </w:p>
              </w:tc>
              <w:tc>
                <w:tcPr>
                  <w:tcW w:w="1114" w:type="dxa"/>
                  <w:vMerge w:val="continue"/>
                  <w:vAlign w:val="center"/>
                </w:tcPr>
                <w:p>
                  <w:pPr>
                    <w:widowControl w:val="0"/>
                    <w:spacing w:line="240" w:lineRule="auto"/>
                    <w:jc w:val="center"/>
                    <w:rPr>
                      <w:rFonts w:eastAsiaTheme="minorEastAsia"/>
                      <w:sz w:val="21"/>
                      <w:szCs w:val="24"/>
                    </w:rPr>
                  </w:pP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长庄安置小区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800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600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毛庄、豪园丽湖湾、豪园明月居</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700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都市阳光</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1200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1000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98"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正德中学</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1500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书香名邸</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1200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1500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怀文小学</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1600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清华园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1300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1700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颐和家园西区、锦绣花园、学府花苑</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3500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WN</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spacing w:val="-8"/>
                      <w:kern w:val="0"/>
                      <w:sz w:val="21"/>
                      <w:szCs w:val="21"/>
                    </w:rPr>
                    <w:t>1900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盛源华庭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1500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600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东方明珠城</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1300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800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1"/>
                    </w:rPr>
                  </w:pPr>
                  <w:r>
                    <w:rPr>
                      <w:rFonts w:hint="eastAsia" w:eastAsiaTheme="minorEastAsia"/>
                      <w:sz w:val="21"/>
                      <w:szCs w:val="24"/>
                    </w:rPr>
                    <w:t>都市阳光</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eastAsiaTheme="minorEastAsia"/>
                      <w:kern w:val="0"/>
                      <w:sz w:val="21"/>
                      <w:szCs w:val="21"/>
                    </w:rPr>
                    <w:t>1000</w:t>
                  </w:r>
                </w:p>
              </w:tc>
              <w:tc>
                <w:tcPr>
                  <w:tcW w:w="873" w:type="dxa"/>
                  <w:vAlign w:val="center"/>
                </w:tcPr>
                <w:p>
                  <w:pPr>
                    <w:kinsoku w:val="0"/>
                    <w:overflowPunct w:val="0"/>
                    <w:autoSpaceDE w:val="0"/>
                    <w:autoSpaceDN w:val="0"/>
                    <w:adjustRightInd w:val="0"/>
                    <w:spacing w:line="240" w:lineRule="auto"/>
                    <w:jc w:val="center"/>
                    <w:rPr>
                      <w:rFonts w:eastAsiaTheme="minorEastAsia"/>
                      <w:sz w:val="21"/>
                      <w:szCs w:val="21"/>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sz w:val="21"/>
                      <w:szCs w:val="24"/>
                    </w:rPr>
                  </w:pPr>
                  <w:r>
                    <w:rPr>
                      <w:rFonts w:hint="eastAsia" w:eastAsiaTheme="minorEastAsia"/>
                      <w:kern w:val="0"/>
                      <w:sz w:val="21"/>
                      <w:szCs w:val="21"/>
                    </w:rPr>
                    <w:t>1000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东方名都、巴黎新城</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2200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1200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圣廷苑</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800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1400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帝景家园</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1100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1500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花都锦城、天盛小区、四季花苑、学府小区、奥都新城</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4600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1600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沭城一品</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1000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4"/>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1800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果园新村、丹桂苑小区</w:t>
                  </w:r>
                </w:p>
              </w:tc>
              <w:tc>
                <w:tcPr>
                  <w:tcW w:w="1138" w:type="dxa"/>
                  <w:vAlign w:val="center"/>
                </w:tcPr>
                <w:p>
                  <w:pPr>
                    <w:widowControl w:val="0"/>
                    <w:snapToGrid w:val="0"/>
                    <w:spacing w:line="240" w:lineRule="auto"/>
                    <w:jc w:val="center"/>
                    <w:rPr>
                      <w:rFonts w:eastAsiaTheme="minorEastAsia"/>
                      <w:sz w:val="21"/>
                      <w:szCs w:val="24"/>
                    </w:rPr>
                  </w:pPr>
                  <w:r>
                    <w:rPr>
                      <w:rFonts w:eastAsiaTheme="minorEastAsia"/>
                      <w:sz w:val="21"/>
                      <w:szCs w:val="24"/>
                    </w:rPr>
                    <w:t>居民区</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1800</w:t>
                  </w:r>
                </w:p>
              </w:tc>
              <w:tc>
                <w:tcPr>
                  <w:tcW w:w="873" w:type="dxa"/>
                  <w:vAlign w:val="center"/>
                </w:tcPr>
                <w:p>
                  <w:pPr>
                    <w:kinsoku w:val="0"/>
                    <w:overflowPunct w:val="0"/>
                    <w:autoSpaceDE w:val="0"/>
                    <w:autoSpaceDN w:val="0"/>
                    <w:adjustRightInd w:val="0"/>
                    <w:spacing w:line="240" w:lineRule="auto"/>
                    <w:jc w:val="center"/>
                    <w:rPr>
                      <w:kern w:val="0"/>
                      <w:sz w:val="21"/>
                      <w:szCs w:val="24"/>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2000</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6" w:space="0"/>
                  <w:insideV w:val="single" w:color="000000" w:themeColor="text1" w:sz="6" w:space="0"/>
                </w:tblBorders>
                <w:tblCellMar>
                  <w:top w:w="0" w:type="dxa"/>
                  <w:left w:w="57" w:type="dxa"/>
                  <w:bottom w:w="0" w:type="dxa"/>
                  <w:right w:w="57" w:type="dxa"/>
                </w:tblCellMar>
              </w:tblPrEx>
              <w:trPr>
                <w:trHeight w:val="283" w:hRule="atLeast"/>
              </w:trPr>
              <w:tc>
                <w:tcPr>
                  <w:tcW w:w="2490" w:type="dxa"/>
                  <w:vAlign w:val="center"/>
                </w:tcPr>
                <w:p>
                  <w:pPr>
                    <w:adjustRightInd w:val="0"/>
                    <w:spacing w:line="240" w:lineRule="auto"/>
                    <w:jc w:val="center"/>
                    <w:rPr>
                      <w:rFonts w:eastAsiaTheme="minorEastAsia"/>
                      <w:sz w:val="21"/>
                      <w:szCs w:val="24"/>
                    </w:rPr>
                  </w:pPr>
                  <w:r>
                    <w:rPr>
                      <w:rFonts w:hint="eastAsia" w:eastAsiaTheme="minorEastAsia"/>
                      <w:sz w:val="21"/>
                      <w:szCs w:val="24"/>
                    </w:rPr>
                    <w:t>沭阳外国语实验学校</w:t>
                  </w:r>
                </w:p>
              </w:tc>
              <w:tc>
                <w:tcPr>
                  <w:tcW w:w="1138" w:type="dxa"/>
                  <w:vAlign w:val="center"/>
                </w:tcPr>
                <w:p>
                  <w:pPr>
                    <w:widowControl w:val="0"/>
                    <w:snapToGrid w:val="0"/>
                    <w:spacing w:line="240" w:lineRule="auto"/>
                    <w:jc w:val="center"/>
                    <w:rPr>
                      <w:rFonts w:eastAsiaTheme="minorEastAsia"/>
                      <w:sz w:val="21"/>
                      <w:szCs w:val="24"/>
                    </w:rPr>
                  </w:pPr>
                  <w:r>
                    <w:rPr>
                      <w:rFonts w:hint="eastAsia" w:eastAsiaTheme="minorEastAsia"/>
                      <w:sz w:val="21"/>
                      <w:szCs w:val="24"/>
                    </w:rPr>
                    <w:t>学校</w:t>
                  </w:r>
                </w:p>
              </w:tc>
              <w:tc>
                <w:tcPr>
                  <w:tcW w:w="1029" w:type="dxa"/>
                  <w:vAlign w:val="center"/>
                </w:tcPr>
                <w:p>
                  <w:pPr>
                    <w:widowControl w:val="0"/>
                    <w:spacing w:line="240" w:lineRule="auto"/>
                    <w:jc w:val="center"/>
                    <w:rPr>
                      <w:rFonts w:eastAsiaTheme="minorEastAsia"/>
                      <w:sz w:val="21"/>
                      <w:szCs w:val="24"/>
                    </w:rPr>
                  </w:pPr>
                  <w:r>
                    <w:rPr>
                      <w:rFonts w:eastAsiaTheme="minorEastAsia"/>
                      <w:sz w:val="21"/>
                      <w:szCs w:val="24"/>
                    </w:rPr>
                    <w:t>人群</w:t>
                  </w:r>
                </w:p>
              </w:tc>
              <w:tc>
                <w:tcPr>
                  <w:tcW w:w="1094" w:type="dxa"/>
                  <w:vAlign w:val="center"/>
                </w:tcPr>
                <w:p>
                  <w:pPr>
                    <w:widowControl w:val="0"/>
                    <w:spacing w:line="240" w:lineRule="auto"/>
                    <w:jc w:val="center"/>
                    <w:rPr>
                      <w:rFonts w:eastAsiaTheme="minorEastAsia"/>
                      <w:sz w:val="21"/>
                      <w:szCs w:val="24"/>
                    </w:rPr>
                  </w:pPr>
                  <w:r>
                    <w:rPr>
                      <w:rFonts w:eastAsiaTheme="minorEastAsia"/>
                      <w:sz w:val="21"/>
                      <w:szCs w:val="24"/>
                    </w:rPr>
                    <w:t>二类区</w:t>
                  </w:r>
                </w:p>
              </w:tc>
              <w:tc>
                <w:tcPr>
                  <w:tcW w:w="1117"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3000</w:t>
                  </w:r>
                </w:p>
              </w:tc>
              <w:tc>
                <w:tcPr>
                  <w:tcW w:w="873" w:type="dxa"/>
                  <w:vAlign w:val="center"/>
                </w:tcPr>
                <w:p>
                  <w:pPr>
                    <w:kinsoku w:val="0"/>
                    <w:overflowPunct w:val="0"/>
                    <w:autoSpaceDE w:val="0"/>
                    <w:autoSpaceDN w:val="0"/>
                    <w:adjustRightInd w:val="0"/>
                    <w:spacing w:line="240" w:lineRule="auto"/>
                    <w:jc w:val="center"/>
                    <w:rPr>
                      <w:kern w:val="0"/>
                      <w:sz w:val="21"/>
                      <w:szCs w:val="21"/>
                    </w:rPr>
                  </w:pPr>
                  <w:r>
                    <w:rPr>
                      <w:rFonts w:hint="eastAsia"/>
                      <w:kern w:val="0"/>
                      <w:sz w:val="21"/>
                      <w:szCs w:val="21"/>
                    </w:rPr>
                    <w:t>SW</w:t>
                  </w:r>
                </w:p>
              </w:tc>
              <w:tc>
                <w:tcPr>
                  <w:tcW w:w="1114" w:type="dxa"/>
                  <w:vAlign w:val="center"/>
                </w:tcPr>
                <w:p>
                  <w:pPr>
                    <w:kinsoku w:val="0"/>
                    <w:overflowPunct w:val="0"/>
                    <w:autoSpaceDE w:val="0"/>
                    <w:autoSpaceDN w:val="0"/>
                    <w:adjustRightInd w:val="0"/>
                    <w:spacing w:line="240" w:lineRule="auto"/>
                    <w:jc w:val="center"/>
                    <w:rPr>
                      <w:rFonts w:eastAsiaTheme="minorEastAsia"/>
                      <w:kern w:val="0"/>
                      <w:sz w:val="21"/>
                      <w:szCs w:val="21"/>
                    </w:rPr>
                  </w:pPr>
                  <w:r>
                    <w:rPr>
                      <w:rFonts w:hint="eastAsia" w:eastAsiaTheme="minorEastAsia"/>
                      <w:kern w:val="0"/>
                      <w:sz w:val="21"/>
                      <w:szCs w:val="21"/>
                    </w:rPr>
                    <w:t>2100</w:t>
                  </w:r>
                </w:p>
              </w:tc>
            </w:tr>
          </w:tbl>
          <w:p>
            <w:pPr>
              <w:adjustRightInd w:val="0"/>
              <w:snapToGrid w:val="0"/>
              <w:spacing w:before="240" w:beforeLines="100"/>
              <w:ind w:firstLine="482" w:firstLineChars="200"/>
              <w:jc w:val="center"/>
              <w:rPr>
                <w:rFonts w:eastAsia="宋体"/>
                <w:b/>
                <w:bCs/>
                <w:sz w:val="24"/>
                <w:szCs w:val="24"/>
              </w:rPr>
            </w:pPr>
            <w:r>
              <w:rPr>
                <w:rFonts w:eastAsia="宋体"/>
                <w:b/>
                <w:bCs/>
                <w:sz w:val="24"/>
                <w:szCs w:val="24"/>
              </w:rPr>
              <w:t>表3-</w:t>
            </w:r>
            <w:r>
              <w:rPr>
                <w:rFonts w:hint="eastAsia" w:eastAsia="宋体"/>
                <w:b/>
                <w:bCs/>
                <w:sz w:val="24"/>
                <w:szCs w:val="24"/>
              </w:rPr>
              <w:t>4</w:t>
            </w:r>
            <w:r>
              <w:rPr>
                <w:rFonts w:eastAsia="宋体"/>
                <w:b/>
                <w:bCs/>
                <w:sz w:val="24"/>
                <w:szCs w:val="24"/>
              </w:rPr>
              <w:t>项目</w:t>
            </w:r>
            <w:r>
              <w:rPr>
                <w:rFonts w:hint="eastAsia" w:eastAsia="宋体"/>
                <w:b/>
                <w:bCs/>
                <w:sz w:val="24"/>
                <w:szCs w:val="24"/>
              </w:rPr>
              <w:t>其他</w:t>
            </w:r>
            <w:r>
              <w:rPr>
                <w:rFonts w:eastAsia="宋体"/>
                <w:b/>
                <w:bCs/>
                <w:sz w:val="24"/>
                <w:szCs w:val="24"/>
              </w:rPr>
              <w:t>主要环境保护目标</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411"/>
              <w:gridCol w:w="992"/>
              <w:gridCol w:w="1276"/>
              <w:gridCol w:w="1003"/>
              <w:gridCol w:w="2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环境要素</w:t>
                  </w: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环境保护对象名称</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方位</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距离（m）</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规模（人）</w:t>
                  </w:r>
                </w:p>
              </w:tc>
              <w:tc>
                <w:tcPr>
                  <w:tcW w:w="2718"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85" w:type="dxa"/>
                  <w:tcBorders>
                    <w:top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水环境</w:t>
                  </w:r>
                </w:p>
              </w:tc>
              <w:tc>
                <w:tcPr>
                  <w:tcW w:w="1411"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沂南河</w:t>
                  </w:r>
                </w:p>
              </w:tc>
              <w:tc>
                <w:tcPr>
                  <w:tcW w:w="992"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北</w:t>
                  </w:r>
                </w:p>
              </w:tc>
              <w:tc>
                <w:tcPr>
                  <w:tcW w:w="1276"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1000</w:t>
                  </w:r>
                </w:p>
              </w:tc>
              <w:tc>
                <w:tcPr>
                  <w:tcW w:w="1003" w:type="dxa"/>
                  <w:tcBorders>
                    <w:top w:val="single" w:color="auto" w:sz="12" w:space="0"/>
                    <w:bottom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小河</w:t>
                  </w:r>
                </w:p>
              </w:tc>
              <w:tc>
                <w:tcPr>
                  <w:tcW w:w="2718" w:type="dxa"/>
                  <w:tcBorders>
                    <w:top w:val="single" w:color="auto"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执行《地表水环境质量标准》（GB3838-2002）</w:t>
                  </w:r>
                  <w:r>
                    <w:rPr>
                      <w:rFonts w:hint="eastAsia" w:eastAsia="宋体"/>
                      <w:sz w:val="21"/>
                      <w:szCs w:val="21"/>
                    </w:rPr>
                    <w:t>IV</w:t>
                  </w:r>
                  <w:r>
                    <w:rPr>
                      <w:rFonts w:eastAsia="宋体"/>
                      <w:sz w:val="21"/>
                      <w:szCs w:val="21"/>
                    </w:rPr>
                    <w:t>类水标准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声环境</w:t>
                  </w:r>
                </w:p>
              </w:tc>
              <w:tc>
                <w:tcPr>
                  <w:tcW w:w="4682" w:type="dxa"/>
                  <w:gridSpan w:val="4"/>
                  <w:vAlign w:val="center"/>
                </w:tcPr>
                <w:p>
                  <w:pPr>
                    <w:widowControl w:val="0"/>
                    <w:snapToGrid w:val="0"/>
                    <w:spacing w:line="240" w:lineRule="atLeast"/>
                    <w:jc w:val="center"/>
                    <w:rPr>
                      <w:rFonts w:eastAsia="宋体"/>
                      <w:sz w:val="21"/>
                      <w:szCs w:val="24"/>
                    </w:rPr>
                  </w:pPr>
                  <w:r>
                    <w:rPr>
                      <w:rFonts w:hint="eastAsia" w:eastAsia="宋体"/>
                      <w:sz w:val="21"/>
                      <w:szCs w:val="24"/>
                    </w:rPr>
                    <w:t>200米范围内无声环境敏感目标</w:t>
                  </w:r>
                </w:p>
              </w:tc>
              <w:tc>
                <w:tcPr>
                  <w:tcW w:w="271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执行《声环境质量标准》（GB3096-2008）中</w:t>
                  </w:r>
                  <w:r>
                    <w:rPr>
                      <w:rFonts w:hint="eastAsia" w:eastAsia="宋体"/>
                      <w:sz w:val="21"/>
                      <w:szCs w:val="21"/>
                    </w:rPr>
                    <w:t>2</w:t>
                  </w:r>
                  <w:r>
                    <w:rPr>
                      <w:rFonts w:eastAsia="宋体"/>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生态环境</w:t>
                  </w:r>
                </w:p>
              </w:tc>
              <w:tc>
                <w:tcPr>
                  <w:tcW w:w="4682" w:type="dxa"/>
                  <w:gridSpan w:val="4"/>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 xml:space="preserve"> 本项目不在沭阳生态红线区域内</w:t>
                  </w:r>
                </w:p>
              </w:tc>
              <w:tc>
                <w:tcPr>
                  <w:tcW w:w="2718"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r>
          </w:tbl>
          <w:p>
            <w:pPr>
              <w:pStyle w:val="25"/>
              <w:ind w:firstLine="220"/>
              <w:rPr>
                <w:rFonts w:eastAsia="宋体"/>
                <w:szCs w:val="24"/>
              </w:rPr>
            </w:pPr>
            <w:r>
              <w:rPr>
                <w:rFonts w:hint="eastAsia" w:eastAsia="宋体"/>
                <w:bCs/>
                <w:sz w:val="22"/>
                <w:szCs w:val="24"/>
              </w:rPr>
              <w:t>注：距离以最近计。</w:t>
            </w:r>
          </w:p>
        </w:tc>
      </w:tr>
    </w:tbl>
    <w:p/>
    <w:p>
      <w:pPr>
        <w:pStyle w:val="10"/>
        <w:spacing w:line="400" w:lineRule="exact"/>
        <w:outlineLvl w:val="0"/>
        <w:rPr>
          <w:rFonts w:eastAsia="宋体"/>
          <w:b/>
          <w:sz w:val="28"/>
          <w:szCs w:val="28"/>
        </w:rPr>
      </w:pPr>
      <w:r>
        <w:rPr>
          <w:rFonts w:eastAsia="宋体"/>
          <w:b/>
          <w:sz w:val="28"/>
          <w:szCs w:val="28"/>
        </w:rPr>
        <w:t>四、评价适用标准及总量控制指标</w:t>
      </w:r>
    </w:p>
    <w:tbl>
      <w:tblPr>
        <w:tblStyle w:val="28"/>
        <w:tblW w:w="9542" w:type="dxa"/>
        <w:tblInd w:w="-2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9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5" w:hRule="atLeast"/>
        </w:trPr>
        <w:tc>
          <w:tcPr>
            <w:tcW w:w="456" w:type="dxa"/>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sz w:val="28"/>
              </w:rPr>
            </w:pPr>
            <w:r>
              <w:rPr>
                <w:rFonts w:hint="default" w:ascii="Times New Roman" w:hAnsi="Times New Roman" w:eastAsia="宋体"/>
                <w:kern w:val="2"/>
              </w:rPr>
              <w:t>环境质量标准</w:t>
            </w:r>
          </w:p>
        </w:tc>
        <w:tc>
          <w:tcPr>
            <w:tcW w:w="9086" w:type="dxa"/>
          </w:tcPr>
          <w:p>
            <w:pPr>
              <w:snapToGrid w:val="0"/>
              <w:ind w:firstLine="482" w:firstLineChars="200"/>
              <w:rPr>
                <w:rFonts w:eastAsia="宋体"/>
                <w:b/>
                <w:sz w:val="24"/>
                <w:szCs w:val="24"/>
              </w:rPr>
            </w:pPr>
            <w:r>
              <w:rPr>
                <w:rFonts w:eastAsia="宋体"/>
                <w:b/>
                <w:sz w:val="24"/>
                <w:szCs w:val="24"/>
              </w:rPr>
              <w:t>1、大气环境质量标准</w:t>
            </w:r>
          </w:p>
          <w:p>
            <w:pPr>
              <w:ind w:firstLine="480" w:firstLineChars="200"/>
              <w:rPr>
                <w:rFonts w:eastAsia="宋体"/>
                <w:sz w:val="24"/>
                <w:szCs w:val="24"/>
              </w:rPr>
            </w:pPr>
            <w:r>
              <w:rPr>
                <w:rFonts w:eastAsia="宋体"/>
                <w:sz w:val="24"/>
                <w:szCs w:val="24"/>
              </w:rPr>
              <w:t>根据《江苏省环境空气质量功能区划分》，评价区域环境空气执行《环境空气质量标准》（GB3095-2012）中的二级标准。根据中国环境科学出版社出版的国家环境保护局科技标准司的《大气污染物综合排放标准详解》中第244页的说明，确定非甲烷总烃的环境空气质量标准采用2.0mg/ m</w:t>
            </w:r>
            <w:r>
              <w:rPr>
                <w:rFonts w:eastAsia="宋体"/>
                <w:sz w:val="24"/>
                <w:szCs w:val="24"/>
                <w:vertAlign w:val="superscript"/>
              </w:rPr>
              <w:t>3</w:t>
            </w:r>
            <w:r>
              <w:rPr>
                <w:rFonts w:eastAsia="宋体"/>
                <w:sz w:val="24"/>
                <w:szCs w:val="24"/>
              </w:rPr>
              <w:t>（1h）。</w:t>
            </w:r>
          </w:p>
          <w:p>
            <w:pPr>
              <w:jc w:val="center"/>
              <w:rPr>
                <w:rFonts w:eastAsia="宋体"/>
                <w:b/>
                <w:sz w:val="24"/>
                <w:szCs w:val="24"/>
              </w:rPr>
            </w:pPr>
            <w:r>
              <w:rPr>
                <w:rFonts w:eastAsia="宋体"/>
                <w:b/>
                <w:sz w:val="24"/>
                <w:szCs w:val="24"/>
              </w:rPr>
              <w:t>表4-1  环境空气质量标准</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2214"/>
              <w:gridCol w:w="2790"/>
              <w:gridCol w:w="19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Theme="minorEastAsia"/>
                      <w:sz w:val="21"/>
                      <w:szCs w:val="21"/>
                    </w:rPr>
                    <w:t>污染物项目</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取值时间</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浓度限值</w:t>
                  </w:r>
                </w:p>
              </w:tc>
              <w:tc>
                <w:tcPr>
                  <w:tcW w:w="1949" w:type="dxa"/>
                  <w:vAlign w:val="center"/>
                </w:tcPr>
                <w:p>
                  <w:pPr>
                    <w:snapToGrid w:val="0"/>
                    <w:spacing w:line="240" w:lineRule="auto"/>
                    <w:jc w:val="center"/>
                    <w:rPr>
                      <w:rFonts w:eastAsiaTheme="minorEastAsia"/>
                      <w:sz w:val="21"/>
                      <w:szCs w:val="21"/>
                    </w:rPr>
                  </w:pPr>
                  <w:r>
                    <w:rPr>
                      <w:rFonts w:eastAsiaTheme="minorEastAsia"/>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SO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60</w:t>
                  </w:r>
                </w:p>
              </w:tc>
              <w:tc>
                <w:tcPr>
                  <w:tcW w:w="1949" w:type="dxa"/>
                  <w:vMerge w:val="restart"/>
                  <w:vAlign w:val="center"/>
                </w:tcPr>
                <w:p>
                  <w:pPr>
                    <w:snapToGrid w:val="0"/>
                    <w:spacing w:line="240" w:lineRule="auto"/>
                    <w:jc w:val="center"/>
                    <w:rPr>
                      <w:rFonts w:eastAsiaTheme="minorEastAsia"/>
                      <w:sz w:val="21"/>
                      <w:szCs w:val="21"/>
                    </w:rPr>
                  </w:pPr>
                  <w:r>
                    <w:rPr>
                      <w:rFonts w:eastAsiaTheme="minorEastAsia"/>
                      <w:sz w:val="21"/>
                      <w:szCs w:val="21"/>
                    </w:rPr>
                    <w:t>《环境空气质量标准》（GB3095-2012）中二级标准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2</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80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NO</w:t>
                  </w:r>
                  <w:r>
                    <w:rPr>
                      <w:rFonts w:eastAsiaTheme="minorEastAsia"/>
                      <w:sz w:val="21"/>
                      <w:szCs w:val="21"/>
                      <w:vertAlign w:val="subscript"/>
                    </w:rPr>
                    <w:t>X</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10</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150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PM</w:t>
                  </w:r>
                  <w:r>
                    <w:rPr>
                      <w:rFonts w:eastAsiaTheme="minorEastAsia"/>
                      <w:sz w:val="21"/>
                      <w:szCs w:val="21"/>
                      <w:vertAlign w:val="subscript"/>
                    </w:rPr>
                    <w:t>2.5</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年平均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35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75</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rPr>
                  </w:pPr>
                  <w:r>
                    <w:rPr>
                      <w:rFonts w:eastAsiaTheme="minorEastAsia"/>
                      <w:sz w:val="21"/>
                      <w:szCs w:val="21"/>
                    </w:rPr>
                    <w:t>CO</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24小时平均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4000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10000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restart"/>
                  <w:vAlign w:val="center"/>
                </w:tcPr>
                <w:p>
                  <w:pPr>
                    <w:snapToGrid w:val="0"/>
                    <w:spacing w:line="240" w:lineRule="auto"/>
                    <w:jc w:val="center"/>
                    <w:rPr>
                      <w:rFonts w:eastAsiaTheme="minorEastAsia"/>
                      <w:sz w:val="21"/>
                      <w:szCs w:val="21"/>
                      <w:vertAlign w:val="subscript"/>
                    </w:rPr>
                  </w:pPr>
                  <w:r>
                    <w:rPr>
                      <w:rFonts w:eastAsiaTheme="minorEastAsia"/>
                      <w:sz w:val="21"/>
                      <w:szCs w:val="21"/>
                    </w:rPr>
                    <w:t>O</w:t>
                  </w:r>
                  <w:r>
                    <w:rPr>
                      <w:rFonts w:eastAsiaTheme="minorEastAsia"/>
                      <w:sz w:val="21"/>
                      <w:szCs w:val="21"/>
                      <w:vertAlign w:val="subscript"/>
                    </w:rPr>
                    <w:t>3</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日最大8小时平均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160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Merge w:val="continue"/>
                  <w:vAlign w:val="center"/>
                </w:tcPr>
                <w:p>
                  <w:pPr>
                    <w:snapToGrid w:val="0"/>
                    <w:spacing w:line="240" w:lineRule="auto"/>
                    <w:jc w:val="center"/>
                    <w:rPr>
                      <w:rFonts w:eastAsiaTheme="minorEastAsia"/>
                      <w:sz w:val="21"/>
                      <w:szCs w:val="21"/>
                    </w:rPr>
                  </w:pP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eastAsiaTheme="minorEastAsia"/>
                      <w:sz w:val="21"/>
                      <w:szCs w:val="21"/>
                    </w:rPr>
                    <w:t>200</w:t>
                  </w:r>
                </w:p>
              </w:tc>
              <w:tc>
                <w:tcPr>
                  <w:tcW w:w="1949" w:type="dxa"/>
                  <w:vMerge w:val="continue"/>
                  <w:vAlign w:val="center"/>
                </w:tcPr>
                <w:p>
                  <w:pPr>
                    <w:snapToGrid w:val="0"/>
                    <w:spacing w:line="240" w:lineRule="auto"/>
                    <w:jc w:val="center"/>
                    <w:rPr>
                      <w:rFonts w:eastAsiaTheme="minorEastAsia"/>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62" w:type="dxa"/>
                  <w:vAlign w:val="center"/>
                </w:tcPr>
                <w:p>
                  <w:pPr>
                    <w:snapToGrid w:val="0"/>
                    <w:spacing w:line="240" w:lineRule="auto"/>
                    <w:jc w:val="center"/>
                    <w:rPr>
                      <w:rFonts w:eastAsiaTheme="minorEastAsia"/>
                      <w:sz w:val="21"/>
                      <w:szCs w:val="21"/>
                    </w:rPr>
                  </w:pPr>
                  <w:r>
                    <w:rPr>
                      <w:rFonts w:eastAsia="宋体"/>
                      <w:sz w:val="21"/>
                      <w:szCs w:val="21"/>
                    </w:rPr>
                    <w:t>非甲烷总烃</w:t>
                  </w:r>
                </w:p>
              </w:tc>
              <w:tc>
                <w:tcPr>
                  <w:tcW w:w="2214" w:type="dxa"/>
                  <w:vAlign w:val="center"/>
                </w:tcPr>
                <w:p>
                  <w:pPr>
                    <w:snapToGrid w:val="0"/>
                    <w:spacing w:line="240" w:lineRule="auto"/>
                    <w:jc w:val="center"/>
                    <w:rPr>
                      <w:rFonts w:eastAsiaTheme="minorEastAsia"/>
                      <w:sz w:val="21"/>
                      <w:szCs w:val="21"/>
                    </w:rPr>
                  </w:pPr>
                  <w:r>
                    <w:rPr>
                      <w:rFonts w:eastAsiaTheme="minorEastAsia"/>
                      <w:sz w:val="21"/>
                      <w:szCs w:val="21"/>
                    </w:rPr>
                    <w:t>1小时平均</w:t>
                  </w:r>
                </w:p>
              </w:tc>
              <w:tc>
                <w:tcPr>
                  <w:tcW w:w="2790" w:type="dxa"/>
                  <w:vAlign w:val="center"/>
                </w:tcPr>
                <w:p>
                  <w:pPr>
                    <w:snapToGrid w:val="0"/>
                    <w:spacing w:line="240" w:lineRule="auto"/>
                    <w:jc w:val="center"/>
                    <w:rPr>
                      <w:rFonts w:eastAsiaTheme="minorEastAsia"/>
                      <w:sz w:val="21"/>
                      <w:szCs w:val="21"/>
                    </w:rPr>
                  </w:pPr>
                  <w:r>
                    <w:rPr>
                      <w:rFonts w:hint="eastAsia" w:eastAsiaTheme="minorEastAsia"/>
                      <w:sz w:val="21"/>
                      <w:szCs w:val="21"/>
                    </w:rPr>
                    <w:t>2000</w:t>
                  </w:r>
                </w:p>
              </w:tc>
              <w:tc>
                <w:tcPr>
                  <w:tcW w:w="1949" w:type="dxa"/>
                  <w:vAlign w:val="center"/>
                </w:tcPr>
                <w:p>
                  <w:pPr>
                    <w:snapToGrid w:val="0"/>
                    <w:spacing w:line="240" w:lineRule="auto"/>
                    <w:jc w:val="center"/>
                    <w:rPr>
                      <w:rFonts w:eastAsiaTheme="minorEastAsia"/>
                      <w:sz w:val="21"/>
                      <w:szCs w:val="21"/>
                    </w:rPr>
                  </w:pPr>
                  <w:r>
                    <w:rPr>
                      <w:rFonts w:eastAsia="宋体"/>
                      <w:sz w:val="24"/>
                      <w:szCs w:val="24"/>
                    </w:rPr>
                    <w:t>《</w:t>
                  </w:r>
                  <w:r>
                    <w:rPr>
                      <w:rFonts w:eastAsiaTheme="minorEastAsia"/>
                      <w:sz w:val="21"/>
                      <w:szCs w:val="21"/>
                    </w:rPr>
                    <w:t>大气污染物综合排放标准详解</w:t>
                  </w:r>
                  <w:r>
                    <w:rPr>
                      <w:rFonts w:eastAsia="宋体"/>
                      <w:sz w:val="24"/>
                      <w:szCs w:val="24"/>
                    </w:rPr>
                    <w:t>》</w:t>
                  </w:r>
                </w:p>
              </w:tc>
            </w:tr>
          </w:tbl>
          <w:p>
            <w:pPr>
              <w:ind w:firstLine="482" w:firstLineChars="200"/>
              <w:rPr>
                <w:rFonts w:eastAsia="宋体"/>
                <w:b/>
                <w:sz w:val="24"/>
                <w:szCs w:val="24"/>
              </w:rPr>
            </w:pPr>
            <w:r>
              <w:rPr>
                <w:rFonts w:eastAsia="宋体"/>
                <w:b/>
                <w:sz w:val="24"/>
                <w:szCs w:val="24"/>
              </w:rPr>
              <w:t>2、地表水环境质量标准</w:t>
            </w:r>
          </w:p>
          <w:p>
            <w:pPr>
              <w:tabs>
                <w:tab w:val="left" w:pos="1965"/>
              </w:tabs>
              <w:ind w:firstLine="480" w:firstLineChars="200"/>
              <w:rPr>
                <w:rFonts w:eastAsia="宋体"/>
                <w:sz w:val="24"/>
                <w:szCs w:val="24"/>
              </w:rPr>
            </w:pPr>
            <w:r>
              <w:rPr>
                <w:rFonts w:hint="eastAsia" w:eastAsia="宋体"/>
                <w:sz w:val="24"/>
                <w:szCs w:val="24"/>
              </w:rPr>
              <w:t>沂南河执行《地表水环境质量标准》（GB3838-2002）IV类水标准。</w:t>
            </w:r>
          </w:p>
          <w:p>
            <w:pPr>
              <w:jc w:val="center"/>
              <w:rPr>
                <w:rFonts w:eastAsia="宋体"/>
                <w:b/>
                <w:sz w:val="24"/>
                <w:szCs w:val="24"/>
              </w:rPr>
            </w:pPr>
            <w:r>
              <w:rPr>
                <w:rFonts w:eastAsia="宋体"/>
                <w:b/>
                <w:sz w:val="24"/>
                <w:szCs w:val="24"/>
              </w:rPr>
              <w:t>表4-2  地表水环境质量标准限值  单位：mg/L（pH为无量纲）</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17"/>
              <w:gridCol w:w="826"/>
              <w:gridCol w:w="1286"/>
              <w:gridCol w:w="1270"/>
              <w:gridCol w:w="1270"/>
              <w:gridCol w:w="1270"/>
              <w:gridCol w:w="12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项目</w:t>
                  </w:r>
                </w:p>
              </w:tc>
              <w:tc>
                <w:tcPr>
                  <w:tcW w:w="826" w:type="dxa"/>
                  <w:vAlign w:val="center"/>
                </w:tcPr>
                <w:p>
                  <w:pPr>
                    <w:widowControl w:val="0"/>
                    <w:tabs>
                      <w:tab w:val="center" w:pos="4153"/>
                      <w:tab w:val="right" w:pos="8306"/>
                    </w:tabs>
                    <w:snapToGrid w:val="0"/>
                    <w:spacing w:line="240" w:lineRule="auto"/>
                    <w:jc w:val="both"/>
                    <w:rPr>
                      <w:rFonts w:eastAsia="宋体"/>
                      <w:sz w:val="21"/>
                      <w:szCs w:val="21"/>
                    </w:rPr>
                  </w:pPr>
                  <w:r>
                    <w:rPr>
                      <w:rFonts w:eastAsia="宋体"/>
                      <w:sz w:val="21"/>
                      <w:szCs w:val="21"/>
                    </w:rPr>
                    <w:t xml:space="preserve">  PH</w:t>
                  </w:r>
                </w:p>
              </w:tc>
              <w:tc>
                <w:tcPr>
                  <w:tcW w:w="128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COD</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BOD</w:t>
                  </w:r>
                  <w:r>
                    <w:rPr>
                      <w:rFonts w:eastAsia="宋体"/>
                      <w:sz w:val="21"/>
                      <w:szCs w:val="21"/>
                      <w:vertAlign w:val="subscript"/>
                    </w:rPr>
                    <w:t>5</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TP</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ascii="宋体" w:hAnsi="宋体" w:eastAsia="宋体" w:cs="宋体"/>
                      <w:sz w:val="24"/>
                      <w:szCs w:val="24"/>
                    </w:rPr>
                    <w:t>IV</w:t>
                  </w:r>
                  <w:r>
                    <w:rPr>
                      <w:rFonts w:eastAsia="宋体"/>
                      <w:sz w:val="21"/>
                      <w:szCs w:val="21"/>
                    </w:rPr>
                    <w:t>类</w:t>
                  </w:r>
                </w:p>
              </w:tc>
              <w:tc>
                <w:tcPr>
                  <w:tcW w:w="8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6～9</w:t>
                  </w:r>
                </w:p>
              </w:tc>
              <w:tc>
                <w:tcPr>
                  <w:tcW w:w="128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r>
                    <w:rPr>
                      <w:rFonts w:hint="eastAsia" w:eastAsia="宋体"/>
                      <w:sz w:val="21"/>
                      <w:szCs w:val="21"/>
                    </w:rPr>
                    <w:t>30</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r>
                    <w:rPr>
                      <w:rFonts w:hint="eastAsia" w:eastAsia="宋体"/>
                      <w:sz w:val="21"/>
                      <w:szCs w:val="21"/>
                    </w:rPr>
                    <w:t>6</w:t>
                  </w:r>
                </w:p>
              </w:tc>
              <w:tc>
                <w:tcPr>
                  <w:tcW w:w="1270" w:type="dxa"/>
                  <w:vAlign w:val="center"/>
                </w:tcPr>
                <w:p>
                  <w:pPr>
                    <w:widowControl w:val="0"/>
                    <w:tabs>
                      <w:tab w:val="center" w:pos="4153"/>
                      <w:tab w:val="right" w:pos="8306"/>
                    </w:tabs>
                    <w:adjustRightInd w:val="0"/>
                    <w:snapToGrid w:val="0"/>
                    <w:spacing w:line="240" w:lineRule="auto"/>
                    <w:jc w:val="center"/>
                    <w:rPr>
                      <w:rFonts w:eastAsia="宋体"/>
                      <w:sz w:val="21"/>
                      <w:szCs w:val="21"/>
                    </w:rPr>
                  </w:pPr>
                  <w:r>
                    <w:rPr>
                      <w:rFonts w:eastAsia="宋体"/>
                      <w:sz w:val="21"/>
                      <w:szCs w:val="21"/>
                    </w:rPr>
                    <w:t>≤</w:t>
                  </w:r>
                  <w:r>
                    <w:rPr>
                      <w:rFonts w:hint="eastAsia" w:eastAsia="宋体"/>
                      <w:sz w:val="21"/>
                      <w:szCs w:val="21"/>
                    </w:rPr>
                    <w:t>0.3</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.5</w:t>
                  </w:r>
                </w:p>
              </w:tc>
              <w:tc>
                <w:tcPr>
                  <w:tcW w:w="127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r>
                    <w:rPr>
                      <w:rFonts w:hint="eastAsia" w:eastAsia="宋体"/>
                      <w:sz w:val="21"/>
                      <w:szCs w:val="21"/>
                    </w:rPr>
                    <w:t>5</w:t>
                  </w:r>
                </w:p>
              </w:tc>
            </w:tr>
          </w:tbl>
          <w:p>
            <w:pPr>
              <w:ind w:firstLine="241" w:firstLineChars="100"/>
              <w:rPr>
                <w:rFonts w:eastAsia="宋体"/>
                <w:b/>
                <w:sz w:val="24"/>
                <w:szCs w:val="24"/>
              </w:rPr>
            </w:pPr>
            <w:r>
              <w:rPr>
                <w:rFonts w:eastAsia="宋体"/>
                <w:b/>
                <w:sz w:val="24"/>
                <w:szCs w:val="24"/>
              </w:rPr>
              <w:t>3、声环境质量标准</w:t>
            </w:r>
          </w:p>
          <w:p>
            <w:pPr>
              <w:tabs>
                <w:tab w:val="left" w:pos="1965"/>
              </w:tabs>
              <w:ind w:firstLine="480" w:firstLineChars="200"/>
              <w:rPr>
                <w:rFonts w:eastAsia="宋体"/>
                <w:sz w:val="24"/>
                <w:szCs w:val="24"/>
              </w:rPr>
            </w:pPr>
            <w:r>
              <w:rPr>
                <w:rFonts w:eastAsia="宋体"/>
                <w:sz w:val="24"/>
                <w:szCs w:val="24"/>
              </w:rPr>
              <w:t>项目所在地执行《声环境质量标准》（GB3096-2008）中</w:t>
            </w:r>
            <w:r>
              <w:rPr>
                <w:rFonts w:hint="eastAsia" w:eastAsia="宋体"/>
                <w:sz w:val="24"/>
                <w:szCs w:val="24"/>
              </w:rPr>
              <w:t>2</w:t>
            </w:r>
            <w:r>
              <w:rPr>
                <w:rFonts w:eastAsia="宋体"/>
                <w:sz w:val="24"/>
                <w:szCs w:val="24"/>
              </w:rPr>
              <w:t>类标准。具体标准见表4-3。</w:t>
            </w:r>
          </w:p>
          <w:p>
            <w:pPr>
              <w:tabs>
                <w:tab w:val="left" w:pos="1965"/>
              </w:tabs>
              <w:ind w:firstLine="482" w:firstLineChars="200"/>
              <w:jc w:val="center"/>
              <w:rPr>
                <w:rFonts w:eastAsia="宋体"/>
                <w:b/>
                <w:sz w:val="24"/>
                <w:szCs w:val="24"/>
              </w:rPr>
            </w:pPr>
            <w:r>
              <w:rPr>
                <w:rFonts w:eastAsia="宋体"/>
                <w:b/>
                <w:sz w:val="24"/>
                <w:szCs w:val="24"/>
              </w:rPr>
              <w:t>表4-3  声环境质量标准    单位：dB(A)</w:t>
            </w:r>
          </w:p>
          <w:tbl>
            <w:tblPr>
              <w:tblStyle w:val="2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3196"/>
              <w:gridCol w:w="34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2"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类别</w:t>
                  </w:r>
                </w:p>
              </w:tc>
              <w:tc>
                <w:tcPr>
                  <w:tcW w:w="1799"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1947"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2"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1799"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1947"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pacing w:line="480" w:lineRule="exact"/>
              <w:ind w:firstLine="482" w:firstLineChars="200"/>
              <w:rPr>
                <w:rFonts w:eastAsia="宋体"/>
                <w:b/>
                <w:sz w:val="24"/>
                <w:szCs w:val="24"/>
              </w:rPr>
            </w:pPr>
            <w:r>
              <w:rPr>
                <w:rFonts w:hint="eastAsia" w:eastAsia="宋体"/>
                <w:b/>
                <w:sz w:val="24"/>
                <w:szCs w:val="24"/>
              </w:rPr>
              <w:t>4、土壤</w:t>
            </w:r>
            <w:r>
              <w:rPr>
                <w:rFonts w:eastAsia="宋体"/>
                <w:b/>
                <w:sz w:val="24"/>
                <w:szCs w:val="24"/>
              </w:rPr>
              <w:t>环境质量标准</w:t>
            </w:r>
          </w:p>
          <w:p>
            <w:pPr>
              <w:tabs>
                <w:tab w:val="left" w:pos="1965"/>
              </w:tabs>
              <w:ind w:firstLine="480" w:firstLineChars="200"/>
              <w:rPr>
                <w:rFonts w:eastAsia="宋体"/>
                <w:sz w:val="24"/>
                <w:szCs w:val="24"/>
              </w:rPr>
            </w:pPr>
            <w:r>
              <w:rPr>
                <w:rFonts w:hint="eastAsia" w:eastAsia="宋体"/>
                <w:sz w:val="24"/>
                <w:szCs w:val="24"/>
              </w:rPr>
              <w:t>建设项目为加油站，属于商业服务业设施用地，所在地执行《土壤环境质量 建设用地土壤污染风险管控标准（试行）》（GB36600-2018）中第二类用地筛选值。</w:t>
            </w:r>
          </w:p>
          <w:p>
            <w:pPr>
              <w:ind w:firstLine="480"/>
              <w:jc w:val="center"/>
              <w:rPr>
                <w:rFonts w:eastAsiaTheme="minorEastAsia"/>
                <w:b/>
                <w:color w:val="000000" w:themeColor="text1"/>
                <w:sz w:val="24"/>
                <w:szCs w:val="24"/>
              </w:rPr>
            </w:pPr>
            <w:r>
              <w:rPr>
                <w:rFonts w:eastAsiaTheme="minorEastAsia"/>
                <w:b/>
                <w:color w:val="000000" w:themeColor="text1"/>
                <w:sz w:val="24"/>
                <w:szCs w:val="24"/>
              </w:rPr>
              <w:t>表4-4 建设用地土壤污染风险筛选值</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1955"/>
              <w:gridCol w:w="1797"/>
              <w:gridCol w:w="26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监测指标</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单位</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标准值</w:t>
                  </w:r>
                </w:p>
              </w:tc>
              <w:tc>
                <w:tcPr>
                  <w:tcW w:w="1514"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标准名称及级(类)别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铬（六价）</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5.7</w:t>
                  </w:r>
                </w:p>
              </w:tc>
              <w:tc>
                <w:tcPr>
                  <w:tcW w:w="1514" w:type="pct"/>
                  <w:vMerge w:val="restar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《土壤环境质量</w:t>
                  </w:r>
                  <w:r>
                    <w:rPr>
                      <w:rFonts w:ascii="Calibri" w:hAnsi="Calibri" w:eastAsia="宋体" w:cs="Calibri"/>
                      <w:color w:val="000000" w:themeColor="text1"/>
                      <w:sz w:val="21"/>
                      <w:szCs w:val="21"/>
                    </w:rPr>
                    <w:tab/>
                  </w:r>
                  <w:r>
                    <w:rPr>
                      <w:rFonts w:ascii="Calibri" w:hAnsi="Calibri" w:eastAsia="宋体" w:cs="Calibri"/>
                      <w:color w:val="000000" w:themeColor="text1"/>
                      <w:sz w:val="21"/>
                      <w:szCs w:val="21"/>
                    </w:rPr>
                    <w:t>建设用地土壤污染风险管控标准（试行）》</w:t>
                  </w:r>
                </w:p>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（GB36600-2018）中第二类用地筛选值标准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镍</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900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铜</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18000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镉</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65</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汞</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38.00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砷</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30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铅</w:t>
                  </w:r>
                </w:p>
              </w:tc>
              <w:tc>
                <w:tcPr>
                  <w:tcW w:w="1101"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mg/kg</w:t>
                  </w:r>
                </w:p>
              </w:tc>
              <w:tc>
                <w:tcPr>
                  <w:tcW w:w="101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800</w:t>
                  </w:r>
                </w:p>
              </w:tc>
              <w:tc>
                <w:tcPr>
                  <w:tcW w:w="1514" w:type="pct"/>
                  <w:vMerge w:val="continue"/>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72" w:type="pct"/>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VOCs</w:t>
                  </w:r>
                </w:p>
              </w:tc>
              <w:tc>
                <w:tcPr>
                  <w:tcW w:w="3627" w:type="pct"/>
                  <w:gridSpan w:val="3"/>
                  <w:tcBorders>
                    <w:tl2br w:val="nil"/>
                    <w:tr2bl w:val="nil"/>
                  </w:tcBorders>
                  <w:vAlign w:val="center"/>
                </w:tcPr>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《土壤环境质量</w:t>
                  </w:r>
                  <w:r>
                    <w:rPr>
                      <w:rFonts w:ascii="Calibri" w:hAnsi="Calibri" w:eastAsia="宋体" w:cs="Calibri"/>
                      <w:color w:val="000000" w:themeColor="text1"/>
                      <w:sz w:val="21"/>
                      <w:szCs w:val="21"/>
                    </w:rPr>
                    <w:tab/>
                  </w:r>
                  <w:r>
                    <w:rPr>
                      <w:rFonts w:ascii="Calibri" w:hAnsi="Calibri" w:eastAsia="宋体" w:cs="Calibri"/>
                      <w:color w:val="000000" w:themeColor="text1"/>
                      <w:sz w:val="21"/>
                      <w:szCs w:val="21"/>
                    </w:rPr>
                    <w:t>建设用地土壤污染风险管控标准（试行）》（GB36600-2018）</w:t>
                  </w:r>
                </w:p>
                <w:p>
                  <w:pPr>
                    <w:widowControl w:val="0"/>
                    <w:spacing w:line="300" w:lineRule="exact"/>
                    <w:jc w:val="center"/>
                    <w:rPr>
                      <w:rFonts w:ascii="Calibri" w:hAnsi="Calibri" w:eastAsia="宋体" w:cs="Calibri"/>
                      <w:color w:val="000000" w:themeColor="text1"/>
                      <w:sz w:val="21"/>
                      <w:szCs w:val="21"/>
                    </w:rPr>
                  </w:pPr>
                  <w:r>
                    <w:rPr>
                      <w:rFonts w:ascii="Calibri" w:hAnsi="Calibri" w:eastAsia="宋体" w:cs="Calibri"/>
                      <w:color w:val="000000" w:themeColor="text1"/>
                      <w:sz w:val="21"/>
                      <w:szCs w:val="21"/>
                    </w:rPr>
                    <w:t>中第二类用地筛选值标准</w:t>
                  </w:r>
                </w:p>
              </w:tc>
            </w:tr>
          </w:tbl>
          <w:p>
            <w:pPr>
              <w:pStyle w:val="25"/>
              <w:ind w:firstLine="0" w:firstLineChars="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5"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污染物排放标准</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0" w:firstLineChars="200"/>
              <w:rPr>
                <w:rFonts w:eastAsia="宋体"/>
                <w:sz w:val="24"/>
                <w:szCs w:val="24"/>
              </w:rPr>
            </w:pPr>
            <w:r>
              <w:rPr>
                <w:rFonts w:eastAsia="宋体"/>
                <w:sz w:val="24"/>
                <w:szCs w:val="24"/>
              </w:rPr>
              <w:t>1、废气排放标准</w:t>
            </w:r>
          </w:p>
          <w:p>
            <w:pPr>
              <w:snapToGrid w:val="0"/>
              <w:ind w:firstLine="480" w:firstLineChars="200"/>
              <w:rPr>
                <w:rFonts w:eastAsia="宋体"/>
                <w:sz w:val="24"/>
                <w:szCs w:val="24"/>
              </w:rPr>
            </w:pPr>
            <w:r>
              <w:rPr>
                <w:rFonts w:eastAsia="宋体"/>
                <w:sz w:val="24"/>
                <w:szCs w:val="24"/>
              </w:rPr>
              <w:t>本项目营运期卸油加油过程中产生的非甲烷总烃，经油气回收后无组织排放，油气排放执行《加油站大气污染物排放标准》（GB20952-2007）中的相关标准（油气排放浓度应小于等于25g/m</w:t>
            </w:r>
            <w:r>
              <w:rPr>
                <w:rFonts w:eastAsia="宋体"/>
                <w:sz w:val="24"/>
                <w:szCs w:val="24"/>
                <w:vertAlign w:val="superscript"/>
              </w:rPr>
              <w:t>3</w:t>
            </w:r>
            <w:r>
              <w:rPr>
                <w:rFonts w:eastAsia="宋体"/>
                <w:sz w:val="24"/>
                <w:szCs w:val="24"/>
              </w:rPr>
              <w:t>，排放口距地平面高度应不低于4m）。油气回收系统的液阻、密闭性压力应分别符合GB 20952中表1、表2限值要求。加油枪气液比应在大于等于1.0和小于等于1.2范围内。</w:t>
            </w:r>
          </w:p>
          <w:p>
            <w:pPr>
              <w:pStyle w:val="25"/>
              <w:snapToGrid w:val="0"/>
              <w:spacing w:after="0"/>
              <w:ind w:firstLine="0" w:firstLineChars="0"/>
              <w:rPr>
                <w:rFonts w:eastAsia="宋体"/>
                <w:sz w:val="24"/>
                <w:szCs w:val="24"/>
              </w:rPr>
            </w:pPr>
            <w:r>
              <w:rPr>
                <w:rFonts w:eastAsia="宋体"/>
                <w:sz w:val="24"/>
                <w:szCs w:val="24"/>
              </w:rPr>
              <w:t>本项目站场边界挥发性有机物（非甲烷总烃）无组织排放监控浓度执行《大气污染物综合排放标准》（GB16297-1996）表2限值。站内VOCs 无组织排放执行《挥发性有机物无组织排放控制标准》（GB37822-2019）附录A监控要求。</w:t>
            </w:r>
          </w:p>
          <w:p>
            <w:pPr>
              <w:pStyle w:val="25"/>
              <w:snapToGrid w:val="0"/>
              <w:spacing w:after="0"/>
              <w:ind w:firstLine="0" w:firstLineChars="0"/>
              <w:jc w:val="center"/>
              <w:rPr>
                <w:rFonts w:eastAsia="宋体"/>
                <w:b/>
                <w:sz w:val="24"/>
                <w:szCs w:val="24"/>
              </w:rPr>
            </w:pPr>
            <w:r>
              <w:rPr>
                <w:rFonts w:eastAsia="宋体"/>
                <w:b/>
                <w:sz w:val="24"/>
                <w:szCs w:val="24"/>
              </w:rPr>
              <w:t>表4-5  无组织排放监控浓度限值</w:t>
            </w:r>
          </w:p>
          <w:tbl>
            <w:tblPr>
              <w:tblStyle w:val="28"/>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276"/>
              <w:gridCol w:w="2126"/>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70"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标准</w:t>
                  </w:r>
                </w:p>
              </w:tc>
              <w:tc>
                <w:tcPr>
                  <w:tcW w:w="1276"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污染物</w:t>
                  </w:r>
                </w:p>
              </w:tc>
              <w:tc>
                <w:tcPr>
                  <w:tcW w:w="5974" w:type="dxa"/>
                  <w:gridSpan w:val="2"/>
                  <w:tcBorders>
                    <w:top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570"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1276"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2126" w:type="dxa"/>
                  <w:tcBorders>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监控点</w:t>
                  </w:r>
                </w:p>
              </w:tc>
              <w:tc>
                <w:tcPr>
                  <w:tcW w:w="3848" w:type="dxa"/>
                  <w:tcBorders>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浓度mg/m</w:t>
                  </w:r>
                  <w:r>
                    <w:rPr>
                      <w:rFonts w:eastAsia="宋体"/>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tcBorders>
                    <w:top w:val="single" w:color="auto" w:sz="12" w:space="0"/>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GB16297-1996</w:t>
                  </w:r>
                </w:p>
              </w:tc>
              <w:tc>
                <w:tcPr>
                  <w:tcW w:w="1276" w:type="dxa"/>
                  <w:tcBorders>
                    <w:top w:val="single" w:color="auto" w:sz="12" w:space="0"/>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非甲烷总烃</w:t>
                  </w:r>
                </w:p>
              </w:tc>
              <w:tc>
                <w:tcPr>
                  <w:tcW w:w="2126" w:type="dxa"/>
                  <w:tcBorders>
                    <w:top w:val="single" w:color="auto" w:sz="12" w:space="0"/>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周界外浓度最高点</w:t>
                  </w: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GB37822-2019</w:t>
                  </w:r>
                </w:p>
              </w:tc>
              <w:tc>
                <w:tcPr>
                  <w:tcW w:w="1276" w:type="dxa"/>
                  <w:vMerge w:val="restart"/>
                  <w:tcBorders>
                    <w:top w:val="single" w:color="auto" w:sz="12" w:space="0"/>
                    <w:lef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非甲烷总烃</w:t>
                  </w:r>
                </w:p>
              </w:tc>
              <w:tc>
                <w:tcPr>
                  <w:tcW w:w="2126" w:type="dxa"/>
                  <w:vMerge w:val="restart"/>
                  <w:tcBorders>
                    <w:top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在厂房外设置监控点</w:t>
                  </w: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6（监控点处 1 h 平均浓度值）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570"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1276" w:type="dxa"/>
                  <w:vMerge w:val="continue"/>
                  <w:tcBorders>
                    <w:left w:val="nil"/>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2126" w:type="dxa"/>
                  <w:vMerge w:val="continue"/>
                  <w:tcBorders>
                    <w:bottom w:val="single" w:color="auto" w:sz="12" w:space="0"/>
                  </w:tcBorders>
                  <w:shd w:val="clear" w:color="auto" w:fill="auto"/>
                  <w:vAlign w:val="center"/>
                </w:tcPr>
                <w:p>
                  <w:pPr>
                    <w:widowControl w:val="0"/>
                    <w:tabs>
                      <w:tab w:val="left" w:pos="360"/>
                    </w:tabs>
                    <w:snapToGrid w:val="0"/>
                    <w:spacing w:line="240" w:lineRule="auto"/>
                    <w:jc w:val="center"/>
                    <w:rPr>
                      <w:rFonts w:eastAsia="宋体"/>
                      <w:sz w:val="21"/>
                      <w:szCs w:val="21"/>
                    </w:rPr>
                  </w:pPr>
                </w:p>
              </w:tc>
              <w:tc>
                <w:tcPr>
                  <w:tcW w:w="3848" w:type="dxa"/>
                  <w:tcBorders>
                    <w:top w:val="single" w:color="auto" w:sz="12" w:space="0"/>
                    <w:bottom w:val="single" w:color="auto" w:sz="12" w:space="0"/>
                    <w:right w:val="nil"/>
                  </w:tcBorders>
                  <w:shd w:val="clear" w:color="auto" w:fill="auto"/>
                  <w:vAlign w:val="center"/>
                </w:tcPr>
                <w:p>
                  <w:pPr>
                    <w:widowControl w:val="0"/>
                    <w:tabs>
                      <w:tab w:val="left" w:pos="360"/>
                    </w:tabs>
                    <w:snapToGrid w:val="0"/>
                    <w:spacing w:line="240" w:lineRule="auto"/>
                    <w:jc w:val="center"/>
                    <w:rPr>
                      <w:rFonts w:eastAsia="宋体"/>
                      <w:sz w:val="21"/>
                      <w:szCs w:val="21"/>
                    </w:rPr>
                  </w:pPr>
                  <w:r>
                    <w:rPr>
                      <w:rFonts w:eastAsia="宋体"/>
                      <w:sz w:val="21"/>
                      <w:szCs w:val="21"/>
                    </w:rPr>
                    <w:t>20（监控点处任意一次浓度值）</w:t>
                  </w:r>
                </w:p>
              </w:tc>
            </w:tr>
          </w:tbl>
          <w:p>
            <w:pPr>
              <w:snapToGrid w:val="0"/>
              <w:ind w:firstLine="480" w:firstLineChars="200"/>
              <w:rPr>
                <w:rFonts w:eastAsia="宋体"/>
                <w:sz w:val="24"/>
                <w:szCs w:val="24"/>
              </w:rPr>
            </w:pPr>
            <w:r>
              <w:rPr>
                <w:rFonts w:eastAsia="宋体"/>
                <w:sz w:val="24"/>
                <w:szCs w:val="24"/>
              </w:rPr>
              <w:t>2、水污染物排放标准</w:t>
            </w:r>
          </w:p>
          <w:p>
            <w:pPr>
              <w:snapToGrid w:val="0"/>
              <w:ind w:firstLine="480" w:firstLineChars="200"/>
              <w:rPr>
                <w:rFonts w:eastAsia="宋体"/>
                <w:sz w:val="24"/>
                <w:szCs w:val="24"/>
              </w:rPr>
            </w:pPr>
            <w:r>
              <w:rPr>
                <w:rFonts w:eastAsia="宋体"/>
                <w:sz w:val="24"/>
                <w:szCs w:val="24"/>
              </w:rPr>
              <w:t>污水</w:t>
            </w:r>
            <w:r>
              <w:rPr>
                <w:rFonts w:hint="eastAsia" w:eastAsia="宋体"/>
                <w:sz w:val="24"/>
                <w:szCs w:val="24"/>
              </w:rPr>
              <w:t>厂</w:t>
            </w:r>
            <w:r>
              <w:rPr>
                <w:rFonts w:eastAsia="宋体"/>
                <w:sz w:val="24"/>
                <w:szCs w:val="24"/>
              </w:rPr>
              <w:t>设计尾水排放标准执行《城镇污水处理厂污染物排放标准（GB18918-2002）中的一级</w:t>
            </w:r>
            <w:r>
              <w:rPr>
                <w:rFonts w:hint="eastAsia" w:eastAsia="宋体"/>
                <w:sz w:val="24"/>
                <w:szCs w:val="24"/>
              </w:rPr>
              <w:t>A</w:t>
            </w:r>
            <w:r>
              <w:rPr>
                <w:rFonts w:eastAsia="宋体"/>
                <w:sz w:val="24"/>
                <w:szCs w:val="24"/>
              </w:rPr>
              <w:t>标准。具体见表4-</w:t>
            </w:r>
            <w:r>
              <w:rPr>
                <w:rFonts w:hint="eastAsia" w:eastAsia="宋体"/>
                <w:sz w:val="24"/>
                <w:szCs w:val="24"/>
              </w:rPr>
              <w:t>6</w:t>
            </w:r>
            <w:r>
              <w:rPr>
                <w:rFonts w:eastAsia="宋体"/>
                <w:sz w:val="24"/>
                <w:szCs w:val="24"/>
              </w:rPr>
              <w:t>。</w:t>
            </w:r>
          </w:p>
          <w:p>
            <w:pPr>
              <w:snapToGrid w:val="0"/>
              <w:ind w:firstLine="480" w:firstLineChars="200"/>
              <w:jc w:val="center"/>
              <w:rPr>
                <w:rFonts w:eastAsia="宋体"/>
                <w:sz w:val="24"/>
                <w:szCs w:val="24"/>
              </w:rPr>
            </w:pPr>
            <w:r>
              <w:rPr>
                <w:rFonts w:eastAsia="宋体"/>
                <w:sz w:val="24"/>
                <w:szCs w:val="24"/>
              </w:rPr>
              <w:t>表4-</w:t>
            </w:r>
            <w:r>
              <w:rPr>
                <w:rFonts w:hint="eastAsia" w:eastAsia="宋体"/>
                <w:sz w:val="24"/>
                <w:szCs w:val="24"/>
              </w:rPr>
              <w:t>6</w:t>
            </w:r>
            <w:r>
              <w:rPr>
                <w:rFonts w:eastAsia="宋体"/>
                <w:sz w:val="24"/>
                <w:szCs w:val="24"/>
              </w:rPr>
              <w:t xml:space="preserve"> 水污染物排放标准  （单位：mg/L）</w:t>
            </w:r>
          </w:p>
          <w:tbl>
            <w:tblPr>
              <w:tblStyle w:val="28"/>
              <w:tblW w:w="88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19"/>
              <w:gridCol w:w="1134"/>
              <w:gridCol w:w="1134"/>
              <w:gridCol w:w="1418"/>
              <w:gridCol w:w="1275"/>
              <w:gridCol w:w="1222"/>
              <w:gridCol w:w="13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19" w:type="dxa"/>
                  <w:tcBorders>
                    <w:top w:val="single" w:color="auto" w:sz="12" w:space="0"/>
                    <w:left w:val="nil"/>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hint="eastAsia" w:ascii="宋体" w:hAnsi="宋体" w:eastAsia="宋体" w:cs="宋体"/>
                      <w:sz w:val="21"/>
                      <w:szCs w:val="21"/>
                    </w:rPr>
                    <w:t>类别</w:t>
                  </w:r>
                </w:p>
              </w:tc>
              <w:tc>
                <w:tcPr>
                  <w:tcW w:w="1134" w:type="dxa"/>
                  <w:tcBorders>
                    <w:top w:val="single" w:color="auto" w:sz="12" w:space="0"/>
                    <w:bottom w:val="single" w:color="auto" w:sz="12"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PH</w:t>
                  </w:r>
                </w:p>
              </w:tc>
              <w:tc>
                <w:tcPr>
                  <w:tcW w:w="1134"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eastAsia="Times New Roman"/>
                      <w:sz w:val="21"/>
                      <w:szCs w:val="21"/>
                    </w:rPr>
                    <w:t>COD</w:t>
                  </w:r>
                  <w:r>
                    <w:rPr>
                      <w:rFonts w:hint="eastAsia" w:eastAsiaTheme="minorEastAsia"/>
                      <w:sz w:val="21"/>
                      <w:szCs w:val="21"/>
                    </w:rPr>
                    <w:t>cr</w:t>
                  </w:r>
                </w:p>
              </w:tc>
              <w:tc>
                <w:tcPr>
                  <w:tcW w:w="1418"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SS</w:t>
                  </w:r>
                </w:p>
              </w:tc>
              <w:tc>
                <w:tcPr>
                  <w:tcW w:w="1275" w:type="dxa"/>
                  <w:tcBorders>
                    <w:top w:val="single" w:color="auto" w:sz="12" w:space="0"/>
                    <w:bottom w:val="single" w:color="auto" w:sz="12"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NH</w:t>
                  </w:r>
                  <w:r>
                    <w:rPr>
                      <w:rFonts w:eastAsia="Times New Roman"/>
                      <w:sz w:val="21"/>
                      <w:szCs w:val="21"/>
                      <w:vertAlign w:val="subscript"/>
                    </w:rPr>
                    <w:t>3</w:t>
                  </w:r>
                  <w:r>
                    <w:rPr>
                      <w:rFonts w:eastAsia="Times New Roman"/>
                      <w:sz w:val="21"/>
                      <w:szCs w:val="21"/>
                    </w:rPr>
                    <w:t>-N</w:t>
                  </w:r>
                </w:p>
              </w:tc>
              <w:tc>
                <w:tcPr>
                  <w:tcW w:w="1222" w:type="dxa"/>
                  <w:tcBorders>
                    <w:top w:val="single" w:color="auto" w:sz="12" w:space="0"/>
                    <w:bottom w:val="single" w:color="auto" w:sz="12" w:space="0"/>
                    <w:right w:val="single" w:color="auto" w:sz="4" w:space="0"/>
                  </w:tcBorders>
                  <w:vAlign w:val="center"/>
                </w:tcPr>
                <w:p>
                  <w:pPr>
                    <w:widowControl w:val="0"/>
                    <w:tabs>
                      <w:tab w:val="left" w:pos="360"/>
                    </w:tabs>
                    <w:snapToGrid w:val="0"/>
                    <w:spacing w:line="240" w:lineRule="auto"/>
                    <w:jc w:val="center"/>
                    <w:rPr>
                      <w:rFonts w:eastAsia="Times New Roman"/>
                      <w:sz w:val="21"/>
                      <w:szCs w:val="21"/>
                    </w:rPr>
                  </w:pPr>
                  <w:r>
                    <w:rPr>
                      <w:rFonts w:eastAsia="Times New Roman"/>
                      <w:sz w:val="21"/>
                      <w:szCs w:val="21"/>
                    </w:rPr>
                    <w:t>TP</w:t>
                  </w:r>
                </w:p>
              </w:tc>
              <w:tc>
                <w:tcPr>
                  <w:tcW w:w="1370" w:type="dxa"/>
                  <w:tcBorders>
                    <w:top w:val="single" w:color="auto" w:sz="12"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TN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19" w:type="dxa"/>
                  <w:tcBorders>
                    <w:top w:val="single" w:color="auto" w:sz="12" w:space="0"/>
                    <w:left w:val="nil"/>
                    <w:bottom w:val="single" w:color="auto" w:sz="6" w:space="0"/>
                  </w:tcBorders>
                  <w:vAlign w:val="center"/>
                </w:tcPr>
                <w:p>
                  <w:pPr>
                    <w:widowControl w:val="0"/>
                    <w:tabs>
                      <w:tab w:val="left" w:pos="360"/>
                    </w:tabs>
                    <w:snapToGrid w:val="0"/>
                    <w:spacing w:line="240" w:lineRule="auto"/>
                    <w:jc w:val="center"/>
                    <w:rPr>
                      <w:rFonts w:eastAsia="Times New Roman"/>
                      <w:sz w:val="21"/>
                      <w:szCs w:val="21"/>
                    </w:rPr>
                  </w:pPr>
                  <w:r>
                    <w:rPr>
                      <w:rFonts w:hint="eastAsia" w:ascii="宋体" w:hAnsi="宋体" w:eastAsia="宋体" w:cs="宋体"/>
                      <w:sz w:val="21"/>
                      <w:szCs w:val="21"/>
                    </w:rPr>
                    <w:t>接管标准</w:t>
                  </w:r>
                </w:p>
              </w:tc>
              <w:tc>
                <w:tcPr>
                  <w:tcW w:w="1134" w:type="dxa"/>
                  <w:tcBorders>
                    <w:top w:val="single" w:color="auto" w:sz="12" w:space="0"/>
                    <w:bottom w:val="single" w:color="auto" w:sz="6"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6</w:t>
                  </w:r>
                  <w:r>
                    <w:rPr>
                      <w:rFonts w:hint="eastAsia" w:ascii="宋体" w:hAnsi="宋体" w:eastAsia="宋体" w:cs="宋体"/>
                      <w:sz w:val="21"/>
                      <w:szCs w:val="21"/>
                    </w:rPr>
                    <w:t>～</w:t>
                  </w:r>
                  <w:r>
                    <w:rPr>
                      <w:rFonts w:eastAsia="Times New Roman"/>
                      <w:sz w:val="21"/>
                      <w:szCs w:val="21"/>
                    </w:rPr>
                    <w:t>9</w:t>
                  </w:r>
                </w:p>
              </w:tc>
              <w:tc>
                <w:tcPr>
                  <w:tcW w:w="1134"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500</w:t>
                  </w:r>
                </w:p>
              </w:tc>
              <w:tc>
                <w:tcPr>
                  <w:tcW w:w="1418"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400</w:t>
                  </w:r>
                </w:p>
              </w:tc>
              <w:tc>
                <w:tcPr>
                  <w:tcW w:w="1275" w:type="dxa"/>
                  <w:tcBorders>
                    <w:top w:val="single" w:color="auto" w:sz="12" w:space="0"/>
                    <w:bottom w:val="single" w:color="auto" w:sz="6"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35</w:t>
                  </w:r>
                </w:p>
              </w:tc>
              <w:tc>
                <w:tcPr>
                  <w:tcW w:w="1222" w:type="dxa"/>
                  <w:tcBorders>
                    <w:top w:val="single" w:color="auto" w:sz="12" w:space="0"/>
                    <w:bottom w:val="single" w:color="auto" w:sz="6" w:space="0"/>
                    <w:right w:val="single" w:color="auto" w:sz="4"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8.0</w:t>
                  </w:r>
                </w:p>
              </w:tc>
              <w:tc>
                <w:tcPr>
                  <w:tcW w:w="1370" w:type="dxa"/>
                  <w:tcBorders>
                    <w:top w:val="single" w:color="auto" w:sz="12" w:space="0"/>
                    <w:left w:val="single" w:color="auto" w:sz="4" w:space="0"/>
                    <w:bottom w:val="single" w:color="auto" w:sz="6"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19" w:type="dxa"/>
                  <w:tcBorders>
                    <w:top w:val="single" w:color="auto" w:sz="6" w:space="0"/>
                    <w:left w:val="nil"/>
                    <w:bottom w:val="single" w:color="auto" w:sz="12" w:space="0"/>
                  </w:tcBorders>
                  <w:vAlign w:val="center"/>
                </w:tcPr>
                <w:p>
                  <w:pPr>
                    <w:widowControl w:val="0"/>
                    <w:tabs>
                      <w:tab w:val="left" w:pos="360"/>
                    </w:tabs>
                    <w:snapToGrid w:val="0"/>
                    <w:spacing w:line="240" w:lineRule="auto"/>
                    <w:jc w:val="center"/>
                    <w:rPr>
                      <w:rFonts w:ascii="宋体" w:hAnsi="宋体" w:eastAsia="宋体" w:cs="宋体"/>
                      <w:sz w:val="21"/>
                      <w:szCs w:val="21"/>
                    </w:rPr>
                  </w:pPr>
                  <w:r>
                    <w:rPr>
                      <w:rFonts w:hint="eastAsia" w:ascii="宋体" w:hAnsi="宋体" w:eastAsia="宋体" w:cs="宋体"/>
                      <w:sz w:val="21"/>
                      <w:szCs w:val="21"/>
                    </w:rPr>
                    <w:t>排放标准</w:t>
                  </w:r>
                </w:p>
              </w:tc>
              <w:tc>
                <w:tcPr>
                  <w:tcW w:w="1134" w:type="dxa"/>
                  <w:tcBorders>
                    <w:top w:val="single" w:color="auto" w:sz="6" w:space="0"/>
                    <w:bottom w:val="single" w:color="auto" w:sz="12" w:space="0"/>
                  </w:tcBorders>
                </w:tcPr>
                <w:p>
                  <w:pPr>
                    <w:widowControl w:val="0"/>
                    <w:tabs>
                      <w:tab w:val="left" w:pos="360"/>
                    </w:tabs>
                    <w:snapToGrid w:val="0"/>
                    <w:spacing w:line="240" w:lineRule="auto"/>
                    <w:jc w:val="center"/>
                    <w:rPr>
                      <w:rFonts w:eastAsia="Times New Roman"/>
                      <w:sz w:val="21"/>
                      <w:szCs w:val="21"/>
                    </w:rPr>
                  </w:pPr>
                  <w:r>
                    <w:rPr>
                      <w:rFonts w:eastAsia="Times New Roman"/>
                      <w:sz w:val="21"/>
                      <w:szCs w:val="21"/>
                    </w:rPr>
                    <w:t>6</w:t>
                  </w:r>
                  <w:r>
                    <w:rPr>
                      <w:rFonts w:hint="eastAsia" w:ascii="宋体" w:hAnsi="宋体" w:eastAsia="宋体" w:cs="宋体"/>
                      <w:sz w:val="21"/>
                      <w:szCs w:val="21"/>
                    </w:rPr>
                    <w:t>～</w:t>
                  </w:r>
                  <w:r>
                    <w:rPr>
                      <w:rFonts w:eastAsia="Times New Roman"/>
                      <w:sz w:val="21"/>
                      <w:szCs w:val="21"/>
                    </w:rPr>
                    <w:t>9</w:t>
                  </w:r>
                </w:p>
              </w:tc>
              <w:tc>
                <w:tcPr>
                  <w:tcW w:w="1134"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50</w:t>
                  </w:r>
                </w:p>
              </w:tc>
              <w:tc>
                <w:tcPr>
                  <w:tcW w:w="1418"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10</w:t>
                  </w:r>
                </w:p>
              </w:tc>
              <w:tc>
                <w:tcPr>
                  <w:tcW w:w="1275" w:type="dxa"/>
                  <w:tcBorders>
                    <w:top w:val="single" w:color="auto" w:sz="6" w:space="0"/>
                    <w:bottom w:val="single" w:color="auto" w:sz="12" w:space="0"/>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5（8）</w:t>
                  </w:r>
                </w:p>
              </w:tc>
              <w:tc>
                <w:tcPr>
                  <w:tcW w:w="1222" w:type="dxa"/>
                  <w:tcBorders>
                    <w:top w:val="single" w:color="auto" w:sz="6" w:space="0"/>
                    <w:bottom w:val="single" w:color="auto" w:sz="12" w:space="0"/>
                    <w:right w:val="single" w:color="auto" w:sz="4" w:space="0"/>
                  </w:tcBorders>
                  <w:vAlign w:val="center"/>
                </w:tcPr>
                <w:p>
                  <w:pPr>
                    <w:widowControl w:val="0"/>
                    <w:tabs>
                      <w:tab w:val="left" w:pos="360"/>
                    </w:tabs>
                    <w:snapToGrid w:val="0"/>
                    <w:spacing w:line="240" w:lineRule="auto"/>
                    <w:jc w:val="center"/>
                    <w:rPr>
                      <w:rFonts w:eastAsia="宋体"/>
                      <w:sz w:val="21"/>
                      <w:szCs w:val="21"/>
                    </w:rPr>
                  </w:pPr>
                  <w:r>
                    <w:rPr>
                      <w:rFonts w:hint="eastAsia" w:eastAsiaTheme="minorEastAsia"/>
                      <w:sz w:val="21"/>
                      <w:szCs w:val="21"/>
                    </w:rPr>
                    <w:t>0.5</w:t>
                  </w:r>
                </w:p>
              </w:tc>
              <w:tc>
                <w:tcPr>
                  <w:tcW w:w="1370" w:type="dxa"/>
                  <w:tcBorders>
                    <w:top w:val="single" w:color="auto" w:sz="6" w:space="0"/>
                    <w:left w:val="single" w:color="auto" w:sz="4" w:space="0"/>
                    <w:bottom w:val="single" w:color="auto" w:sz="12" w:space="0"/>
                    <w:right w:val="nil"/>
                  </w:tcBorders>
                  <w:vAlign w:val="center"/>
                </w:tcPr>
                <w:p>
                  <w:pPr>
                    <w:widowControl w:val="0"/>
                    <w:tabs>
                      <w:tab w:val="left" w:pos="360"/>
                    </w:tabs>
                    <w:snapToGrid w:val="0"/>
                    <w:spacing w:line="240" w:lineRule="auto"/>
                    <w:jc w:val="center"/>
                    <w:rPr>
                      <w:rFonts w:eastAsiaTheme="minorEastAsia"/>
                      <w:sz w:val="21"/>
                      <w:szCs w:val="21"/>
                    </w:rPr>
                  </w:pPr>
                  <w:r>
                    <w:rPr>
                      <w:rFonts w:hint="eastAsia" w:eastAsiaTheme="minorEastAsia"/>
                      <w:sz w:val="21"/>
                      <w:szCs w:val="21"/>
                    </w:rPr>
                    <w:t>15</w:t>
                  </w:r>
                </w:p>
              </w:tc>
            </w:tr>
          </w:tbl>
          <w:p>
            <w:pPr>
              <w:snapToGrid w:val="0"/>
              <w:ind w:firstLine="480" w:firstLineChars="200"/>
              <w:rPr>
                <w:rFonts w:eastAsia="宋体"/>
                <w:sz w:val="24"/>
                <w:szCs w:val="24"/>
              </w:rPr>
            </w:pPr>
            <w:r>
              <w:rPr>
                <w:rFonts w:hint="eastAsia" w:eastAsia="宋体"/>
                <w:sz w:val="24"/>
                <w:szCs w:val="24"/>
              </w:rPr>
              <w:t>3</w:t>
            </w:r>
            <w:r>
              <w:rPr>
                <w:rFonts w:eastAsia="宋体"/>
                <w:sz w:val="24"/>
                <w:szCs w:val="24"/>
              </w:rPr>
              <w:t>、噪声排放标准</w:t>
            </w:r>
          </w:p>
          <w:p>
            <w:pPr>
              <w:snapToGrid w:val="0"/>
              <w:ind w:firstLine="480" w:firstLineChars="200"/>
              <w:rPr>
                <w:rFonts w:eastAsia="宋体"/>
                <w:sz w:val="24"/>
                <w:szCs w:val="24"/>
              </w:rPr>
            </w:pPr>
            <w:r>
              <w:rPr>
                <w:rFonts w:eastAsia="宋体"/>
                <w:sz w:val="24"/>
                <w:szCs w:val="24"/>
              </w:rPr>
              <w:t>建设项目噪声排放执行《工业企业厂界环境噪声排放标准》（GB12348-2008）中</w:t>
            </w:r>
            <w:r>
              <w:rPr>
                <w:rFonts w:hint="eastAsia" w:eastAsia="宋体"/>
                <w:sz w:val="24"/>
                <w:szCs w:val="24"/>
              </w:rPr>
              <w:t>2</w:t>
            </w:r>
            <w:r>
              <w:rPr>
                <w:rFonts w:eastAsia="宋体"/>
                <w:sz w:val="24"/>
                <w:szCs w:val="24"/>
              </w:rPr>
              <w:t>类标准。具体见表4-</w:t>
            </w:r>
            <w:r>
              <w:rPr>
                <w:rFonts w:hint="eastAsia" w:eastAsia="宋体"/>
                <w:sz w:val="24"/>
                <w:szCs w:val="24"/>
              </w:rPr>
              <w:t>7</w:t>
            </w:r>
            <w:r>
              <w:rPr>
                <w:rFonts w:eastAsia="宋体"/>
                <w:sz w:val="24"/>
                <w:szCs w:val="24"/>
              </w:rPr>
              <w:t>。</w:t>
            </w:r>
          </w:p>
          <w:p>
            <w:pPr>
              <w:pStyle w:val="25"/>
              <w:snapToGrid w:val="0"/>
              <w:spacing w:after="0"/>
              <w:ind w:firstLine="0" w:firstLineChars="0"/>
              <w:jc w:val="center"/>
              <w:rPr>
                <w:rFonts w:eastAsia="宋体"/>
                <w:b/>
                <w:sz w:val="24"/>
                <w:szCs w:val="24"/>
              </w:rPr>
            </w:pPr>
            <w:r>
              <w:rPr>
                <w:rFonts w:eastAsia="宋体"/>
                <w:b/>
                <w:sz w:val="24"/>
                <w:szCs w:val="24"/>
              </w:rPr>
              <w:t>表4-</w:t>
            </w:r>
            <w:r>
              <w:rPr>
                <w:rFonts w:hint="eastAsia" w:eastAsia="宋体"/>
                <w:b/>
                <w:sz w:val="24"/>
                <w:szCs w:val="24"/>
              </w:rPr>
              <w:t>7</w:t>
            </w:r>
            <w:r>
              <w:rPr>
                <w:rFonts w:eastAsia="宋体"/>
                <w:b/>
                <w:sz w:val="24"/>
                <w:szCs w:val="24"/>
              </w:rPr>
              <w:t xml:space="preserve"> 建设项目厂界噪声排放标准    单位：dB(A)</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61"/>
              <w:gridCol w:w="2961"/>
              <w:gridCol w:w="29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2" w:type="dxa"/>
                  <w:vAlign w:val="center"/>
                </w:tcPr>
                <w:p>
                  <w:pPr>
                    <w:widowControl w:val="0"/>
                    <w:tabs>
                      <w:tab w:val="center" w:pos="4153"/>
                      <w:tab w:val="right" w:pos="8306"/>
                    </w:tabs>
                    <w:snapToGrid w:val="0"/>
                    <w:spacing w:line="240" w:lineRule="auto"/>
                    <w:jc w:val="center"/>
                    <w:rPr>
                      <w:rFonts w:eastAsia="宋体"/>
                      <w:color w:val="FF0000"/>
                      <w:sz w:val="21"/>
                      <w:szCs w:val="21"/>
                    </w:rPr>
                  </w:pPr>
                  <w:r>
                    <w:rPr>
                      <w:rFonts w:hint="eastAsia" w:eastAsia="宋体"/>
                      <w:sz w:val="21"/>
                      <w:szCs w:val="21"/>
                    </w:rPr>
                    <w:t>类别</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昼间</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r>
                    <w:rPr>
                      <w:rFonts w:eastAsia="宋体"/>
                      <w:sz w:val="21"/>
                      <w:szCs w:val="21"/>
                    </w:rPr>
                    <w:t>类</w:t>
                  </w:r>
                </w:p>
              </w:tc>
              <w:tc>
                <w:tcPr>
                  <w:tcW w:w="314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60</w:t>
                  </w:r>
                </w:p>
              </w:tc>
              <w:tc>
                <w:tcPr>
                  <w:tcW w:w="314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bl>
          <w:p>
            <w:pPr>
              <w:snapToGrid w:val="0"/>
              <w:ind w:firstLine="480" w:firstLineChars="200"/>
              <w:rPr>
                <w:rFonts w:eastAsia="宋体"/>
                <w:sz w:val="24"/>
                <w:szCs w:val="24"/>
              </w:rPr>
            </w:pPr>
            <w:r>
              <w:rPr>
                <w:rFonts w:hint="eastAsia" w:eastAsia="宋体"/>
                <w:sz w:val="24"/>
                <w:szCs w:val="24"/>
              </w:rPr>
              <w:t>4</w:t>
            </w:r>
            <w:r>
              <w:rPr>
                <w:rFonts w:eastAsia="宋体"/>
                <w:sz w:val="24"/>
                <w:szCs w:val="24"/>
              </w:rPr>
              <w:t>、固废</w:t>
            </w:r>
          </w:p>
          <w:p>
            <w:pPr>
              <w:snapToGrid w:val="0"/>
              <w:ind w:firstLine="480" w:firstLineChars="200"/>
              <w:rPr>
                <w:rFonts w:eastAsia="宋体"/>
                <w:sz w:val="24"/>
                <w:szCs w:val="24"/>
              </w:rPr>
            </w:pPr>
            <w:r>
              <w:rPr>
                <w:rFonts w:eastAsia="宋体"/>
                <w:sz w:val="24"/>
                <w:szCs w:val="24"/>
              </w:rPr>
              <w:t>一般固体废物处理、处置执行《一般工业固体废物贮存、处置场污染控制标准》（GB18599-2001）及标准修改单</w:t>
            </w:r>
            <w:r>
              <w:rPr>
                <w:rFonts w:hint="eastAsia" w:eastAsia="宋体"/>
                <w:sz w:val="24"/>
                <w:szCs w:val="24"/>
              </w:rPr>
              <w:t>的有关规定</w:t>
            </w:r>
            <w:r>
              <w:rPr>
                <w:rFonts w:eastAsia="宋体"/>
                <w:sz w:val="24"/>
                <w:szCs w:val="24"/>
              </w:rPr>
              <w:t>。</w:t>
            </w:r>
          </w:p>
          <w:p>
            <w:pPr>
              <w:snapToGrid w:val="0"/>
              <w:ind w:firstLine="480" w:firstLineChars="200"/>
              <w:rPr>
                <w:rFonts w:eastAsia="宋体"/>
                <w:b/>
                <w:sz w:val="24"/>
                <w:szCs w:val="24"/>
              </w:rPr>
            </w:pPr>
            <w:r>
              <w:rPr>
                <w:rFonts w:hint="eastAsia" w:eastAsia="宋体"/>
                <w:sz w:val="24"/>
                <w:szCs w:val="24"/>
              </w:rPr>
              <w:t>危险固废执行《危险废物贮存污染控制标准》（GB18597-2001）（2013 年修定）。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17" w:hRule="atLeast"/>
        </w:trPr>
        <w:tc>
          <w:tcPr>
            <w:tcW w:w="456" w:type="dxa"/>
            <w:tcBorders>
              <w:top w:val="single" w:color="auto" w:sz="8" w:space="0"/>
              <w:left w:val="single" w:color="auto" w:sz="8" w:space="0"/>
              <w:bottom w:val="single" w:color="auto" w:sz="8" w:space="0"/>
              <w:right w:val="single" w:color="auto" w:sz="8" w:space="0"/>
            </w:tcBorders>
            <w:vAlign w:val="center"/>
          </w:tcPr>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总</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量</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控</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制</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指</w:t>
            </w:r>
          </w:p>
          <w:p>
            <w:pPr>
              <w:pStyle w:val="93"/>
              <w:widowControl w:val="0"/>
              <w:pBdr>
                <w:left w:val="none" w:color="auto" w:sz="0" w:space="0"/>
              </w:pBdr>
              <w:spacing w:before="120" w:beforeLines="50" w:beforeAutospacing="0" w:after="120" w:afterLines="50" w:afterAutospacing="0"/>
              <w:rPr>
                <w:rFonts w:hint="default" w:ascii="Times New Roman" w:hAnsi="Times New Roman" w:eastAsia="宋体"/>
                <w:kern w:val="2"/>
              </w:rPr>
            </w:pPr>
            <w:r>
              <w:rPr>
                <w:rFonts w:hint="default" w:ascii="Times New Roman" w:hAnsi="Times New Roman" w:eastAsia="宋体"/>
                <w:kern w:val="2"/>
              </w:rPr>
              <w:t>标</w:t>
            </w:r>
          </w:p>
        </w:tc>
        <w:tc>
          <w:tcPr>
            <w:tcW w:w="9086" w:type="dxa"/>
            <w:tcBorders>
              <w:top w:val="single" w:color="auto" w:sz="8" w:space="0"/>
              <w:left w:val="single" w:color="auto" w:sz="8" w:space="0"/>
              <w:bottom w:val="single" w:color="auto" w:sz="8" w:space="0"/>
              <w:right w:val="single" w:color="auto" w:sz="8" w:space="0"/>
            </w:tcBorders>
          </w:tcPr>
          <w:p>
            <w:pPr>
              <w:snapToGrid w:val="0"/>
              <w:ind w:firstLine="482" w:firstLineChars="200"/>
              <w:rPr>
                <w:rFonts w:eastAsia="宋体"/>
                <w:b/>
                <w:sz w:val="24"/>
                <w:szCs w:val="24"/>
              </w:rPr>
            </w:pPr>
            <w:r>
              <w:rPr>
                <w:rFonts w:eastAsia="宋体"/>
                <w:b/>
                <w:sz w:val="24"/>
                <w:szCs w:val="24"/>
              </w:rPr>
              <w:t>本项目运营期污染物排放总量控制指标建议：</w:t>
            </w:r>
          </w:p>
          <w:p>
            <w:pPr>
              <w:snapToGrid w:val="0"/>
              <w:ind w:firstLine="480" w:firstLineChars="200"/>
              <w:rPr>
                <w:rFonts w:eastAsia="宋体"/>
                <w:sz w:val="24"/>
                <w:szCs w:val="24"/>
              </w:rPr>
            </w:pPr>
            <w:r>
              <w:rPr>
                <w:rFonts w:hint="eastAsia" w:eastAsia="宋体"/>
                <w:sz w:val="24"/>
                <w:szCs w:val="24"/>
              </w:rPr>
              <w:t xml:space="preserve">废水： </w:t>
            </w:r>
          </w:p>
          <w:p>
            <w:pPr>
              <w:pStyle w:val="25"/>
              <w:ind w:firstLine="240"/>
              <w:rPr>
                <w:rFonts w:eastAsia="宋体" w:cs="宋体"/>
                <w:kern w:val="0"/>
                <w:sz w:val="24"/>
                <w:szCs w:val="24"/>
              </w:rPr>
            </w:pPr>
            <w:r>
              <w:rPr>
                <w:rFonts w:eastAsia="宋体"/>
                <w:sz w:val="24"/>
                <w:szCs w:val="24"/>
              </w:rPr>
              <w:t>废水接管考核量：废水量≤</w:t>
            </w:r>
            <w:r>
              <w:rPr>
                <w:rFonts w:hint="eastAsia" w:eastAsia="宋体"/>
                <w:sz w:val="24"/>
                <w:szCs w:val="24"/>
              </w:rPr>
              <w:t>759.2</w:t>
            </w:r>
            <w:r>
              <w:rPr>
                <w:rFonts w:eastAsia="宋体"/>
                <w:sz w:val="24"/>
                <w:szCs w:val="24"/>
              </w:rPr>
              <w:t>t/a、</w:t>
            </w:r>
            <w:r>
              <w:rPr>
                <w:rFonts w:eastAsia="宋体" w:cs="宋体"/>
                <w:kern w:val="0"/>
                <w:sz w:val="24"/>
                <w:szCs w:val="24"/>
              </w:rPr>
              <w:t>COD</w:t>
            </w:r>
            <w:r>
              <w:rPr>
                <w:rFonts w:hint="eastAsia" w:eastAsia="宋体" w:cs="宋体"/>
                <w:kern w:val="0"/>
                <w:sz w:val="24"/>
                <w:szCs w:val="24"/>
              </w:rPr>
              <w:t>≤0.228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≤0.15</w:t>
            </w:r>
            <w:r>
              <w:rPr>
                <w:rFonts w:eastAsia="宋体" w:cs="宋体"/>
                <w:kern w:val="0"/>
                <w:sz w:val="24"/>
                <w:szCs w:val="24"/>
              </w:rPr>
              <w:t>t/a</w:t>
            </w:r>
            <w:r>
              <w:rPr>
                <w:rFonts w:hint="eastAsia" w:eastAsia="宋体" w:cs="宋体"/>
                <w:kern w:val="0"/>
                <w:sz w:val="24"/>
                <w:szCs w:val="24"/>
              </w:rPr>
              <w:t>、氨氮≤0.019</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0.00</w:t>
            </w:r>
            <w:r>
              <w:rPr>
                <w:rFonts w:hint="eastAsia" w:eastAsia="宋体" w:cs="宋体"/>
                <w:kern w:val="0"/>
                <w:sz w:val="24"/>
                <w:szCs w:val="24"/>
              </w:rPr>
              <w:t>23</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N≤0.034</w:t>
            </w:r>
            <w:r>
              <w:rPr>
                <w:rFonts w:eastAsia="宋体" w:cs="宋体"/>
                <w:kern w:val="0"/>
                <w:sz w:val="24"/>
                <w:szCs w:val="24"/>
              </w:rPr>
              <w:t>t/a</w:t>
            </w:r>
            <w:r>
              <w:rPr>
                <w:rFonts w:hint="eastAsia" w:eastAsia="宋体" w:cs="宋体"/>
                <w:kern w:val="0"/>
                <w:sz w:val="24"/>
                <w:szCs w:val="24"/>
              </w:rPr>
              <w:t>，</w:t>
            </w:r>
          </w:p>
          <w:p>
            <w:pPr>
              <w:pStyle w:val="25"/>
              <w:ind w:firstLine="240"/>
            </w:pPr>
            <w:r>
              <w:rPr>
                <w:rFonts w:eastAsia="宋体"/>
                <w:sz w:val="24"/>
                <w:szCs w:val="24"/>
              </w:rPr>
              <w:t>废水最终排放量：废水量≤</w:t>
            </w:r>
            <w:r>
              <w:rPr>
                <w:rFonts w:hint="eastAsia" w:eastAsia="宋体"/>
                <w:sz w:val="24"/>
                <w:szCs w:val="24"/>
              </w:rPr>
              <w:t>759.2</w:t>
            </w:r>
            <w:r>
              <w:rPr>
                <w:rFonts w:eastAsia="宋体"/>
                <w:sz w:val="24"/>
                <w:szCs w:val="24"/>
              </w:rPr>
              <w:t>t/a、</w:t>
            </w:r>
            <w:r>
              <w:rPr>
                <w:rFonts w:eastAsia="宋体" w:cs="宋体"/>
                <w:kern w:val="0"/>
                <w:sz w:val="24"/>
                <w:szCs w:val="24"/>
              </w:rPr>
              <w:t>COD</w:t>
            </w:r>
            <w:r>
              <w:rPr>
                <w:rFonts w:hint="eastAsia" w:eastAsia="宋体" w:cs="宋体"/>
                <w:kern w:val="0"/>
                <w:sz w:val="24"/>
                <w:szCs w:val="24"/>
              </w:rPr>
              <w:t>≤0.038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≤0.0076</w:t>
            </w:r>
            <w:r>
              <w:rPr>
                <w:rFonts w:eastAsia="宋体" w:cs="宋体"/>
                <w:kern w:val="0"/>
                <w:sz w:val="24"/>
                <w:szCs w:val="24"/>
              </w:rPr>
              <w:t>t/a</w:t>
            </w:r>
            <w:r>
              <w:rPr>
                <w:rFonts w:hint="eastAsia" w:eastAsia="宋体" w:cs="宋体"/>
                <w:kern w:val="0"/>
                <w:sz w:val="24"/>
                <w:szCs w:val="24"/>
              </w:rPr>
              <w:t>、氨氮≤</w:t>
            </w:r>
            <w:r>
              <w:rPr>
                <w:rFonts w:eastAsia="宋体" w:cs="宋体"/>
                <w:kern w:val="0"/>
                <w:sz w:val="24"/>
                <w:szCs w:val="24"/>
              </w:rPr>
              <w:t>0.</w:t>
            </w:r>
            <w:r>
              <w:rPr>
                <w:rFonts w:hint="eastAsia" w:eastAsia="宋体" w:cs="宋体"/>
                <w:kern w:val="0"/>
                <w:sz w:val="24"/>
                <w:szCs w:val="24"/>
              </w:rPr>
              <w:t>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0.</w:t>
            </w:r>
            <w:r>
              <w:rPr>
                <w:rFonts w:hint="eastAsia" w:eastAsia="宋体" w:cs="宋体"/>
                <w:kern w:val="0"/>
                <w:sz w:val="24"/>
                <w:szCs w:val="24"/>
              </w:rPr>
              <w:t>0061</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≤0.00038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N≤0.0114</w:t>
            </w:r>
            <w:r>
              <w:rPr>
                <w:rFonts w:eastAsia="宋体" w:cs="宋体"/>
                <w:kern w:val="0"/>
                <w:sz w:val="24"/>
                <w:szCs w:val="24"/>
              </w:rPr>
              <w:t>t/a</w:t>
            </w:r>
            <w:r>
              <w:rPr>
                <w:rFonts w:hint="eastAsia" w:eastAsia="宋体" w:cs="宋体"/>
                <w:kern w:val="0"/>
                <w:sz w:val="24"/>
                <w:szCs w:val="24"/>
              </w:rPr>
              <w:t>。</w:t>
            </w:r>
          </w:p>
          <w:p>
            <w:pPr>
              <w:snapToGrid w:val="0"/>
              <w:ind w:firstLine="480" w:firstLineChars="200"/>
              <w:rPr>
                <w:rFonts w:eastAsia="宋体"/>
                <w:b/>
                <w:sz w:val="24"/>
                <w:szCs w:val="24"/>
              </w:rPr>
            </w:pPr>
            <w:r>
              <w:rPr>
                <w:rFonts w:eastAsia="宋体"/>
                <w:sz w:val="24"/>
                <w:szCs w:val="24"/>
              </w:rPr>
              <w:t>固废：零排放。</w:t>
            </w:r>
          </w:p>
        </w:tc>
      </w:tr>
    </w:tbl>
    <w:p>
      <w:pPr>
        <w:pStyle w:val="10"/>
        <w:spacing w:line="400" w:lineRule="exact"/>
        <w:rPr>
          <w:rFonts w:eastAsia="宋体"/>
          <w:b/>
          <w:sz w:val="28"/>
          <w:szCs w:val="28"/>
        </w:rPr>
      </w:pPr>
    </w:p>
    <w:p>
      <w:pPr>
        <w:outlineLvl w:val="0"/>
        <w:rPr>
          <w:rFonts w:eastAsia="宋体"/>
          <w:b/>
        </w:rPr>
        <w:sectPr>
          <w:pgSz w:w="11907" w:h="16840"/>
          <w:pgMar w:top="1418" w:right="1418" w:bottom="1418" w:left="1418" w:header="851" w:footer="992" w:gutter="0"/>
          <w:cols w:space="720" w:num="1"/>
          <w:docGrid w:linePitch="387" w:charSpace="-5735"/>
        </w:sectPr>
      </w:pPr>
    </w:p>
    <w:p>
      <w:pPr>
        <w:outlineLvl w:val="0"/>
        <w:rPr>
          <w:rFonts w:eastAsia="宋体"/>
          <w:b/>
        </w:rPr>
      </w:pPr>
      <w:r>
        <w:rPr>
          <w:rFonts w:eastAsia="宋体"/>
          <w:b/>
        </w:rPr>
        <w:t>五、建设项目工程分析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7" w:hRule="atLeast"/>
          <w:jc w:val="center"/>
        </w:trPr>
        <w:tc>
          <w:tcPr>
            <w:tcW w:w="9287" w:type="dxa"/>
          </w:tcPr>
          <w:p>
            <w:pPr>
              <w:rPr>
                <w:rFonts w:eastAsia="宋体"/>
                <w:b/>
                <w:sz w:val="24"/>
                <w:szCs w:val="24"/>
              </w:rPr>
            </w:pPr>
            <w:r>
              <w:rPr>
                <w:rFonts w:eastAsia="宋体"/>
                <w:b/>
                <w:sz w:val="24"/>
                <w:szCs w:val="24"/>
              </w:rPr>
              <w:t>一、工艺流程简述：</w:t>
            </w:r>
          </w:p>
          <w:p>
            <w:pPr>
              <w:snapToGrid w:val="0"/>
              <w:ind w:firstLine="482" w:firstLineChars="200"/>
              <w:rPr>
                <w:rFonts w:eastAsia="宋体"/>
                <w:b/>
                <w:sz w:val="24"/>
                <w:szCs w:val="24"/>
              </w:rPr>
            </w:pPr>
            <w:r>
              <w:rPr>
                <w:rFonts w:eastAsia="宋体"/>
                <w:b/>
                <w:sz w:val="24"/>
                <w:szCs w:val="24"/>
              </w:rPr>
              <w:t>1、工艺流程及产污环节图：</w:t>
            </w:r>
          </w:p>
          <w:p>
            <w:pPr>
              <w:snapToGrid w:val="0"/>
              <w:ind w:firstLine="480" w:firstLineChars="200"/>
              <w:rPr>
                <w:rFonts w:eastAsia="宋体"/>
                <w:sz w:val="24"/>
                <w:szCs w:val="24"/>
              </w:rPr>
            </w:pPr>
            <w:r>
              <w:rPr>
                <w:rFonts w:hint="eastAsia" w:eastAsia="宋体"/>
                <w:sz w:val="24"/>
                <w:szCs w:val="24"/>
              </w:rPr>
              <w:t>本项目主要从事成品汽油、柴油的零售。项目的工艺流程及产排污环节见下图。</w:t>
            </w:r>
          </w:p>
          <w:p>
            <w:pPr>
              <w:spacing w:line="480" w:lineRule="auto"/>
              <w:jc w:val="center"/>
              <w:rPr>
                <w:rFonts w:eastAsia="宋体"/>
                <w:sz w:val="24"/>
                <w:szCs w:val="24"/>
              </w:rPr>
            </w:pPr>
            <w:r>
              <w:rPr>
                <w:rFonts w:eastAsia="宋体"/>
                <w:sz w:val="24"/>
                <w:szCs w:val="24"/>
              </w:rPr>
              <w:pict>
                <v:group id="画布 772" o:spid="_x0000_s1063" o:spt="203" style="height:159pt;width:455.2pt;" coordorigin="1283,4958" coordsize="9104,3180" editas="canvas">
                  <o:lock v:ext="edit"/>
                  <v:shape id="画布 772" o:spid="_x0000_s1064" o:spt="75" type="#_x0000_t75" style="position:absolute;left:1283;top:4958;height:3180;width:9104;" filled="f" o:preferrelative="f" stroked="f" coordsize="21600,21600">
                    <v:path/>
                    <v:fill on="f" focussize="0,0"/>
                    <v:stroke on="f" joinstyle="miter"/>
                    <v:imagedata o:title=""/>
                    <o:lock v:ext="edit" rotation="t" text="t" aspectratio="t"/>
                  </v:shape>
                  <v:line id="直线 775" o:spid="_x0000_s1065" o:spt="20" style="position:absolute;left:2053;top:5630;flip:y;height:625;width:1;" coordsize="21600,21600">
                    <v:path arrowok="t"/>
                    <v:fill focussize="0,0"/>
                    <v:stroke dashstyle="dash" endarrow="block"/>
                    <v:imagedata o:title=""/>
                    <o:lock v:ext="edit"/>
                  </v:line>
                  <v:rect id="矩形 776" o:spid="_x0000_s1066" o:spt="1" style="position:absolute;left:3418;top:5273;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line id="直线 780" o:spid="_x0000_s1067" o:spt="20" style="position:absolute;left:2683;top:6533;height:1;width:720;" coordsize="21600,21600">
                    <v:path arrowok="t"/>
                    <v:fill focussize="0,0"/>
                    <v:stroke endarrow="block"/>
                    <v:imagedata o:title=""/>
                    <o:lock v:ext="edit"/>
                  </v:line>
                  <v:line id="直线 784" o:spid="_x0000_s1068" o:spt="20" style="position:absolute;left:3523;top:6785;flip:y;height:624;width:1;" coordsize="21600,21600">
                    <v:path arrowok="t"/>
                    <v:fill focussize="0,0"/>
                    <v:stroke dashstyle="dash" endarrow="block"/>
                    <v:imagedata o:title=""/>
                    <o:lock v:ext="edit"/>
                  </v:line>
                  <v:line id="直线 786" o:spid="_x0000_s1069" o:spt="20" style="position:absolute;left:4678;top:6548;height:1;width:720;" coordsize="21600,21600">
                    <v:path arrowok="t"/>
                    <v:fill focussize="0,0"/>
                    <v:stroke endarrow="block"/>
                    <v:imagedata o:title=""/>
                    <o:lock v:ext="edit"/>
                  </v:line>
                  <v:line id="直线 788" o:spid="_x0000_s1070" o:spt="20" style="position:absolute;left:8352;top:5672;flip:y;height:626;width:1;" coordsize="21600,21600">
                    <v:path arrowok="t"/>
                    <v:fill focussize="0,0"/>
                    <v:stroke dashstyle="dash" endarrow="block"/>
                    <v:imagedata o:title=""/>
                    <o:lock v:ext="edit"/>
                  </v:line>
                  <v:line id="直线 790" o:spid="_x0000_s1071" o:spt="20" style="position:absolute;left:6883;top:6554;height:1;width:720;" coordsize="21600,21600">
                    <v:path arrowok="t"/>
                    <v:fill focussize="0,0"/>
                    <v:stroke endarrow="block"/>
                    <v:imagedata o:title=""/>
                    <o:lock v:ext="edit"/>
                  </v:line>
                  <v:line id="直线 792" o:spid="_x0000_s1072" o:spt="20" style="position:absolute;left:4468;top:6791;flip:y;height:625;width:1;" coordsize="21600,21600">
                    <v:path arrowok="t"/>
                    <v:fill focussize="0,0"/>
                    <v:stroke dashstyle="dash" endarrow="block"/>
                    <v:imagedata o:title=""/>
                    <o:lock v:ext="edit"/>
                  </v:line>
                  <v:line id="直线 784" o:spid="_x0000_s1073" o:spt="20" style="position:absolute;left:2053;top:6776;flip:y;height:624;width:1;" coordsize="21600,21600">
                    <v:path arrowok="t"/>
                    <v:fill focussize="0,0"/>
                    <v:stroke dashstyle="dash" endarrow="block"/>
                    <v:imagedata o:title=""/>
                    <o:lock v:ext="edit"/>
                  </v:line>
                  <v:rect id="矩形 777" o:spid="_x0000_s1074" o:spt="1" style="position:absolute;left:1528;top:6272;height:490;width:1155;" coordsize="21600,21600">
                    <v:path/>
                    <v:fill focussize="0,0"/>
                    <v:stroke/>
                    <v:imagedata o:title=""/>
                    <o:lock v:ext="edit"/>
                    <v:textbox>
                      <w:txbxContent>
                        <w:p>
                          <w:r>
                            <w:rPr>
                              <w:rFonts w:hint="eastAsia" w:ascii="宋体" w:hAnsi="宋体" w:eastAsia="宋体"/>
                              <w:sz w:val="21"/>
                              <w:szCs w:val="21"/>
                            </w:rPr>
                            <w:t>油品运输</w:t>
                          </w:r>
                        </w:p>
                      </w:txbxContent>
                    </v:textbox>
                  </v:rect>
                  <v:rect id="矩形 789" o:spid="_x0000_s1075" o:spt="1" style="position:absolute;left:1633;top:5192;height:468;width:945;" filled="f" stroked="f" coordsize="21600,21600">
                    <v:path/>
                    <v:fill on="f" focussize="0,0"/>
                    <v:stroke on="f"/>
                    <v:imagedata o:title=""/>
                    <o:lock v:ext="edit"/>
                    <v:textbox>
                      <w:txbxContent>
                        <w:p>
                          <w:pPr>
                            <w:rPr>
                              <w:rFonts w:eastAsia="宋体"/>
                              <w:sz w:val="21"/>
                              <w:szCs w:val="21"/>
                            </w:rPr>
                          </w:pPr>
                          <w:r>
                            <w:rPr>
                              <w:rFonts w:hint="eastAsia" w:eastAsia="宋体"/>
                              <w:sz w:val="21"/>
                              <w:szCs w:val="21"/>
                            </w:rPr>
                            <w:t>噪 声</w:t>
                          </w:r>
                        </w:p>
                      </w:txbxContent>
                    </v:textbox>
                  </v:rect>
                  <v:line id="直线 775" o:spid="_x0000_s1076" o:spt="20" style="position:absolute;left:3943;top:5687;flip:y;height:625;width:1;" coordsize="21600,21600">
                    <v:path arrowok="t"/>
                    <v:fill focussize="0,0"/>
                    <v:stroke dashstyle="dash" endarrow="block"/>
                    <v:imagedata o:title=""/>
                    <o:lock v:ext="edit"/>
                  </v:line>
                  <v:line id="直线 784" o:spid="_x0000_s1077" o:spt="20" style="position:absolute;left:6568;top:6800;flip:y;height:624;width:1;" coordsize="21600,21600">
                    <v:path arrowok="t"/>
                    <v:fill focussize="0,0"/>
                    <v:stroke dashstyle="dash" endarrow="block"/>
                    <v:imagedata o:title=""/>
                    <o:lock v:ext="edit"/>
                  </v:line>
                  <v:line id="直线 784" o:spid="_x0000_s1078" o:spt="20" style="position:absolute;left:5623;top:6797;flip:y;height:624;width:1;" coordsize="21600,21600">
                    <v:path arrowok="t"/>
                    <v:fill focussize="0,0"/>
                    <v:stroke dashstyle="dash" endarrow="block"/>
                    <v:imagedata o:title=""/>
                    <o:lock v:ext="edit"/>
                  </v:line>
                  <v:line id="直线 784" o:spid="_x0000_s1079" o:spt="20" style="position:absolute;left:6148;top:5675;flip:y;height:624;width:1;" coordsize="21600,21600">
                    <v:path arrowok="t"/>
                    <v:fill focussize="0,0"/>
                    <v:stroke dashstyle="dash" endarrow="block"/>
                    <v:imagedata o:title=""/>
                    <o:lock v:ext="edit"/>
                  </v:line>
                  <v:line id="直线 788" o:spid="_x0000_s1080" o:spt="20" style="position:absolute;left:9402;top:5702;flip:y;height:626;width:1;" coordsize="21600,21600">
                    <v:path arrowok="t"/>
                    <v:fill focussize="0,0"/>
                    <v:stroke dashstyle="dash" endarrow="block"/>
                    <v:imagedata o:title=""/>
                    <o:lock v:ext="edit"/>
                  </v:line>
                  <v:line id="直线 784" o:spid="_x0000_s1081" o:spt="20" style="position:absolute;left:9717;top:6821;flip:y;height:624;width:1;" coordsize="21600,21600">
                    <v:path arrowok="t"/>
                    <v:fill focussize="0,0"/>
                    <v:stroke dashstyle="dash" endarrow="block"/>
                    <v:imagedata o:title=""/>
                    <o:lock v:ext="edit"/>
                  </v:line>
                  <v:line id="直线 784" o:spid="_x0000_s1082" o:spt="20" style="position:absolute;left:8458;top:6812;flip:y;height:624;width:1;" coordsize="21600,21600">
                    <v:path arrowok="t"/>
                    <v:fill focussize="0,0"/>
                    <v:stroke dashstyle="dash" endarrow="block"/>
                    <v:imagedata o:title=""/>
                    <o:lock v:ext="edit"/>
                  </v:line>
                  <v:line id="直线 784" o:spid="_x0000_s1083" o:spt="20" style="position:absolute;left:7723;top:6815;flip:y;height:624;width:1;" coordsize="21600,21600">
                    <v:path arrowok="t"/>
                    <v:fill focussize="0,0"/>
                    <v:stroke dashstyle="dash" endarrow="block"/>
                    <v:imagedata o:title=""/>
                    <o:lock v:ext="edit"/>
                  </v:line>
                  <v:rect id="矩形 776" o:spid="_x0000_s1084" o:spt="1" style="position:absolute;left:5700;top:5261;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rect id="矩形 776" o:spid="_x0000_s1085" o:spt="1" style="position:absolute;left:8983;top:5261;height:399;width:945;" filled="f" stroked="f" coordsize="21600,21600">
                    <v:path/>
                    <v:fill on="f" focussize="0,0"/>
                    <v:stroke on="f"/>
                    <v:imagedata o:title=""/>
                    <o:lock v:ext="edit"/>
                    <v:textbox>
                      <w:txbxContent>
                        <w:p>
                          <w:pPr>
                            <w:jc w:val="center"/>
                            <w:rPr>
                              <w:rFonts w:eastAsia="宋体"/>
                              <w:sz w:val="21"/>
                              <w:szCs w:val="21"/>
                            </w:rPr>
                          </w:pPr>
                          <w:r>
                            <w:rPr>
                              <w:rFonts w:hint="eastAsia" w:eastAsia="宋体"/>
                              <w:sz w:val="21"/>
                              <w:szCs w:val="21"/>
                            </w:rPr>
                            <w:t>油 气</w:t>
                          </w:r>
                        </w:p>
                      </w:txbxContent>
                    </v:textbox>
                  </v:rect>
                  <v:rect id="矩形 789" o:spid="_x0000_s1086" o:spt="1" style="position:absolute;left:7853;top:5219;height:468;width:945;" filled="f" stroked="f" coordsize="21600,21600">
                    <v:path/>
                    <v:fill on="f" focussize="0,0"/>
                    <v:stroke on="f"/>
                    <v:imagedata o:title=""/>
                    <o:lock v:ext="edit"/>
                    <v:textbox>
                      <w:txbxContent>
                        <w:p>
                          <w:pPr>
                            <w:rPr>
                              <w:rFonts w:eastAsia="宋体"/>
                              <w:sz w:val="21"/>
                              <w:szCs w:val="21"/>
                            </w:rPr>
                          </w:pPr>
                          <w:r>
                            <w:rPr>
                              <w:rFonts w:hint="eastAsia" w:eastAsia="宋体"/>
                              <w:sz w:val="21"/>
                              <w:szCs w:val="21"/>
                            </w:rPr>
                            <w:t>噪 声</w:t>
                          </w:r>
                        </w:p>
                      </w:txbxContent>
                    </v:textbox>
                  </v:rect>
                  <v:rect id="矩形 777" o:spid="_x0000_s1087" o:spt="1" style="position:absolute;left:5299;top:7445;height:490;width:729;" coordsize="21600,21600">
                    <v:path/>
                    <v:fill focussize="0,0"/>
                    <v:stroke/>
                    <v:imagedata o:title=""/>
                    <o:lock v:ext="edit"/>
                    <v:textbox>
                      <w:txbxContent>
                        <w:p>
                          <w:r>
                            <w:rPr>
                              <w:rFonts w:hint="eastAsia" w:ascii="宋体" w:hAnsi="宋体" w:eastAsia="宋体"/>
                              <w:sz w:val="21"/>
                              <w:szCs w:val="21"/>
                            </w:rPr>
                            <w:t>油槽</w:t>
                          </w:r>
                        </w:p>
                      </w:txbxContent>
                    </v:textbox>
                  </v:rect>
                  <v:rect id="矩形 777" o:spid="_x0000_s1088" o:spt="1" style="position:absolute;left:6235;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89" o:spt="1" style="position:absolute;left:7222;top:7427;height:490;width:776;"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90" o:spt="1" style="position:absolute;left:8095;top:7445;height:490;width:953;" coordsize="21600,21600">
                    <v:path/>
                    <v:fill focussize="0,0"/>
                    <v:stroke/>
                    <v:imagedata o:title=""/>
                    <o:lock v:ext="edit"/>
                    <v:textbox>
                      <w:txbxContent>
                        <w:p>
                          <w:r>
                            <w:rPr>
                              <w:rFonts w:hint="eastAsia" w:ascii="宋体" w:hAnsi="宋体" w:eastAsia="宋体"/>
                              <w:sz w:val="21"/>
                              <w:szCs w:val="21"/>
                            </w:rPr>
                            <w:t>加油机</w:t>
                          </w:r>
                        </w:p>
                      </w:txbxContent>
                    </v:textbox>
                  </v:rect>
                  <v:rect id="矩形 777" o:spid="_x0000_s1091" o:spt="1" style="position:absolute;left:9122;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1092" o:spt="1" style="position:absolute;left:7603;top:6331;height:490;width:2445;" coordsize="21600,21600">
                    <v:path/>
                    <v:fill focussize="0,0"/>
                    <v:stroke/>
                    <v:imagedata o:title=""/>
                    <o:lock v:ext="edit"/>
                    <v:textbox>
                      <w:txbxContent>
                        <w:p>
                          <w:pPr>
                            <w:jc w:val="center"/>
                          </w:pPr>
                          <w:r>
                            <w:rPr>
                              <w:rFonts w:hint="eastAsia" w:ascii="宋体" w:hAnsi="宋体" w:eastAsia="宋体"/>
                              <w:sz w:val="21"/>
                              <w:szCs w:val="21"/>
                            </w:rPr>
                            <w:t>加油</w:t>
                          </w:r>
                        </w:p>
                      </w:txbxContent>
                    </v:textbox>
                  </v:rect>
                  <v:rect id="矩形 777" o:spid="_x0000_s1093" o:spt="1" style="position:absolute;left:5398;top:6322;height:490;width:1485;" coordsize="21600,21600">
                    <v:path/>
                    <v:fill focussize="0,0"/>
                    <v:stroke/>
                    <v:imagedata o:title=""/>
                    <o:lock v:ext="edit"/>
                    <v:textbox>
                      <w:txbxContent>
                        <w:p>
                          <w:pPr>
                            <w:jc w:val="center"/>
                          </w:pPr>
                          <w:r>
                            <w:rPr>
                              <w:rFonts w:hint="eastAsia" w:ascii="宋体" w:hAnsi="宋体" w:eastAsia="宋体"/>
                              <w:sz w:val="21"/>
                              <w:szCs w:val="21"/>
                            </w:rPr>
                            <w:t>存储</w:t>
                          </w:r>
                        </w:p>
                      </w:txbxContent>
                    </v:textbox>
                  </v:rect>
                  <v:rect id="矩形 777" o:spid="_x0000_s1094" o:spt="1" style="position:absolute;left:3418;top:6272;height:490;width:1260;" coordsize="21600,21600">
                    <v:path/>
                    <v:fill focussize="0,0"/>
                    <v:stroke/>
                    <v:imagedata o:title=""/>
                    <o:lock v:ext="edit"/>
                    <v:textbox>
                      <w:txbxContent>
                        <w:p>
                          <w:pPr>
                            <w:jc w:val="center"/>
                          </w:pPr>
                          <w:r>
                            <w:rPr>
                              <w:rFonts w:hint="eastAsia" w:ascii="宋体" w:hAnsi="宋体" w:eastAsia="宋体"/>
                              <w:sz w:val="21"/>
                              <w:szCs w:val="21"/>
                            </w:rPr>
                            <w:t>卸油</w:t>
                          </w:r>
                        </w:p>
                      </w:txbxContent>
                    </v:textbox>
                  </v:rect>
                  <v:rect id="矩形 777" o:spid="_x0000_s1095" o:spt="1" style="position:absolute;left:3943;top:7445;height:490;width:1151;" coordsize="21600,21600">
                    <v:path/>
                    <v:fill focussize="0,0"/>
                    <v:stroke/>
                    <v:imagedata o:title=""/>
                    <o:lock v:ext="edit"/>
                    <v:textbox>
                      <w:txbxContent>
                        <w:p>
                          <w:r>
                            <w:rPr>
                              <w:rFonts w:hint="eastAsia" w:ascii="宋体" w:hAnsi="宋体" w:eastAsia="宋体"/>
                              <w:sz w:val="21"/>
                              <w:szCs w:val="21"/>
                            </w:rPr>
                            <w:t>油气回收</w:t>
                          </w:r>
                        </w:p>
                      </w:txbxContent>
                    </v:textbox>
                  </v:rect>
                  <v:rect id="矩形 777" o:spid="_x0000_s1096" o:spt="1" style="position:absolute;left:3069;top:7445;height:490;width:803;" coordsize="21600,21600">
                    <v:path/>
                    <v:fill focussize="0,0"/>
                    <v:stroke/>
                    <v:imagedata o:title=""/>
                    <o:lock v:ext="edit"/>
                    <v:textbox>
                      <w:txbxContent>
                        <w:p>
                          <w:r>
                            <w:rPr>
                              <w:rFonts w:hint="eastAsia" w:ascii="宋体" w:hAnsi="宋体" w:eastAsia="宋体"/>
                              <w:sz w:val="21"/>
                              <w:szCs w:val="21"/>
                            </w:rPr>
                            <w:t>油罐</w:t>
                          </w:r>
                        </w:p>
                      </w:txbxContent>
                    </v:textbox>
                  </v:rect>
                  <v:rect id="矩形 777" o:spid="_x0000_s1097" o:spt="1" style="position:absolute;left:1528;top:7400;height:490;width:971;" coordsize="21600,21600">
                    <v:path/>
                    <v:fill focussize="0,0"/>
                    <v:stroke/>
                    <v:imagedata o:title=""/>
                    <o:lock v:ext="edit"/>
                    <v:textbox>
                      <w:txbxContent>
                        <w:p>
                          <w:r>
                            <w:rPr>
                              <w:rFonts w:hint="eastAsia" w:ascii="宋体" w:hAnsi="宋体" w:eastAsia="宋体"/>
                              <w:sz w:val="21"/>
                              <w:szCs w:val="21"/>
                            </w:rPr>
                            <w:t>油槽车</w:t>
                          </w:r>
                        </w:p>
                      </w:txbxContent>
                    </v:textbox>
                  </v:rect>
                  <w10:wrap type="none"/>
                  <w10:anchorlock/>
                </v:group>
              </w:pict>
            </w:r>
          </w:p>
          <w:p>
            <w:pPr>
              <w:tabs>
                <w:tab w:val="left" w:pos="360"/>
              </w:tabs>
              <w:snapToGrid w:val="0"/>
              <w:ind w:firstLine="463" w:firstLineChars="192"/>
              <w:jc w:val="center"/>
              <w:rPr>
                <w:rFonts w:eastAsia="宋体"/>
                <w:b/>
                <w:sz w:val="24"/>
                <w:szCs w:val="24"/>
              </w:rPr>
            </w:pPr>
            <w:r>
              <w:rPr>
                <w:rFonts w:eastAsia="宋体"/>
                <w:b/>
                <w:sz w:val="24"/>
                <w:szCs w:val="24"/>
              </w:rPr>
              <w:t>图5-1  加油站汽、柴油加油工艺流程及产污环节图</w:t>
            </w:r>
          </w:p>
          <w:p>
            <w:pPr>
              <w:ind w:firstLine="482" w:firstLineChars="200"/>
              <w:rPr>
                <w:rFonts w:eastAsia="宋体"/>
                <w:b/>
                <w:sz w:val="24"/>
                <w:szCs w:val="24"/>
              </w:rPr>
            </w:pPr>
            <w:r>
              <w:rPr>
                <w:rFonts w:eastAsia="宋体"/>
                <w:b/>
                <w:sz w:val="24"/>
                <w:szCs w:val="24"/>
              </w:rPr>
              <w:t>2、项目工艺流程简述：</w:t>
            </w:r>
          </w:p>
          <w:p>
            <w:pPr>
              <w:ind w:firstLine="480" w:firstLineChars="200"/>
              <w:rPr>
                <w:rFonts w:eastAsia="宋体"/>
                <w:sz w:val="24"/>
                <w:szCs w:val="24"/>
              </w:rPr>
            </w:pPr>
            <w:r>
              <w:rPr>
                <w:rFonts w:eastAsia="宋体"/>
                <w:sz w:val="24"/>
                <w:szCs w:val="24"/>
              </w:rPr>
              <w:t>（1）油品运输：油品均采用</w:t>
            </w:r>
            <w:r>
              <w:rPr>
                <w:rFonts w:hint="eastAsia" w:eastAsia="宋体"/>
                <w:sz w:val="24"/>
                <w:szCs w:val="24"/>
              </w:rPr>
              <w:t>油罐车</w:t>
            </w:r>
            <w:r>
              <w:rPr>
                <w:rFonts w:eastAsia="宋体"/>
                <w:sz w:val="24"/>
                <w:szCs w:val="24"/>
              </w:rPr>
              <w:t>运送至本站。油槽车均带有卸油口及油气回收接口。此工序会产生噪声。</w:t>
            </w:r>
          </w:p>
          <w:p>
            <w:pPr>
              <w:ind w:firstLine="480" w:firstLineChars="200"/>
              <w:rPr>
                <w:rFonts w:eastAsia="宋体"/>
                <w:sz w:val="24"/>
                <w:szCs w:val="24"/>
              </w:rPr>
            </w:pPr>
            <w:r>
              <w:rPr>
                <w:rFonts w:eastAsia="宋体"/>
                <w:sz w:val="24"/>
                <w:szCs w:val="24"/>
              </w:rPr>
              <w:t>（2）卸油：本项目采用自流密闭卸油方式卸油</w:t>
            </w:r>
            <w:r>
              <w:rPr>
                <w:rFonts w:hint="eastAsia" w:eastAsia="宋体"/>
                <w:sz w:val="24"/>
                <w:szCs w:val="24"/>
              </w:rPr>
              <w:t>，配套卸油油气回收系统</w:t>
            </w:r>
            <w:r>
              <w:rPr>
                <w:rFonts w:eastAsia="宋体"/>
                <w:sz w:val="24"/>
                <w:szCs w:val="24"/>
              </w:rPr>
              <w:t>。油槽车与卸油接口、蒸汽回收管口与油槽车油气回收管口均通过快速接头软管相连接，油槽车与埋地油罐便形成了封闭卸油空间。员工打开卸油阀后油品因位差便自流进入相应的埋地储油罐，同体积的油气因正压被压回油罐车。回收至油罐车内的油气由槽车带回油库。此工序会产生废气。</w:t>
            </w:r>
          </w:p>
          <w:p>
            <w:pPr>
              <w:ind w:firstLine="480" w:firstLineChars="200"/>
              <w:rPr>
                <w:rFonts w:eastAsia="宋体"/>
                <w:sz w:val="24"/>
                <w:szCs w:val="24"/>
              </w:rPr>
            </w:pPr>
            <w:r>
              <w:rPr>
                <w:rFonts w:eastAsia="宋体"/>
                <w:sz w:val="24"/>
                <w:szCs w:val="24"/>
              </w:rPr>
              <w:t>（3）存储：本项目设置</w:t>
            </w:r>
            <w:r>
              <w:rPr>
                <w:rFonts w:hint="eastAsia" w:eastAsia="宋体"/>
                <w:sz w:val="24"/>
                <w:szCs w:val="24"/>
              </w:rPr>
              <w:t>5</w:t>
            </w:r>
            <w:r>
              <w:rPr>
                <w:rFonts w:eastAsia="宋体"/>
                <w:sz w:val="24"/>
                <w:szCs w:val="24"/>
              </w:rPr>
              <w:t>座埋地油罐。每具油罐均设有液位计，用于预防溢油事故，并安装卸油油气回收装置，有效保障加油站的安全性。本项目</w:t>
            </w:r>
            <w:r>
              <w:rPr>
                <w:rFonts w:hint="eastAsia" w:eastAsia="宋体"/>
                <w:sz w:val="24"/>
                <w:szCs w:val="24"/>
              </w:rPr>
              <w:t>5</w:t>
            </w:r>
            <w:r>
              <w:rPr>
                <w:rFonts w:eastAsia="宋体"/>
                <w:sz w:val="24"/>
                <w:szCs w:val="24"/>
              </w:rPr>
              <w:t>座油罐全部埋设在油罐池内。</w:t>
            </w:r>
            <w:r>
              <w:rPr>
                <w:rFonts w:hint="eastAsia" w:eastAsia="宋体"/>
                <w:sz w:val="24"/>
                <w:szCs w:val="24"/>
              </w:rPr>
              <w:t>存储过程</w:t>
            </w:r>
            <w:r>
              <w:rPr>
                <w:rFonts w:eastAsia="宋体"/>
                <w:sz w:val="24"/>
                <w:szCs w:val="24"/>
              </w:rPr>
              <w:t>会产生</w:t>
            </w:r>
            <w:r>
              <w:rPr>
                <w:rFonts w:hint="eastAsia" w:eastAsia="宋体"/>
                <w:sz w:val="24"/>
                <w:szCs w:val="24"/>
              </w:rPr>
              <w:t>大小呼吸</w:t>
            </w:r>
            <w:r>
              <w:rPr>
                <w:rFonts w:eastAsia="宋体"/>
                <w:sz w:val="24"/>
                <w:szCs w:val="24"/>
              </w:rPr>
              <w:t>废气。</w:t>
            </w:r>
          </w:p>
          <w:p>
            <w:pPr>
              <w:ind w:firstLine="480" w:firstLineChars="200"/>
              <w:rPr>
                <w:rFonts w:eastAsia="宋体"/>
                <w:sz w:val="24"/>
                <w:szCs w:val="24"/>
              </w:rPr>
            </w:pPr>
            <w:r>
              <w:rPr>
                <w:rFonts w:eastAsia="宋体"/>
                <w:sz w:val="24"/>
                <w:szCs w:val="24"/>
              </w:rPr>
              <w:t>（4）加油：加油机为自动税控计量加油，加油枪为油气回收型加油枪。员工根据顾客需要的品种和数量在加油机上预置，确认油品无误后提枪加油，完毕后收枪复位。此工序会产生噪声和废气。</w:t>
            </w:r>
          </w:p>
          <w:p>
            <w:pPr>
              <w:ind w:firstLine="480" w:firstLineChars="200"/>
              <w:rPr>
                <w:rFonts w:eastAsia="宋体"/>
                <w:szCs w:val="28"/>
              </w:rPr>
            </w:pPr>
            <w:r>
              <w:rPr>
                <w:rFonts w:hint="eastAsia" w:eastAsia="宋体"/>
                <w:sz w:val="24"/>
                <w:szCs w:val="24"/>
              </w:rPr>
              <w:t>项目配套建设有油气回收系统，包含二次油气回收阶段，详见源强分析章节。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5" w:hRule="atLeast"/>
          <w:jc w:val="center"/>
        </w:trPr>
        <w:tc>
          <w:tcPr>
            <w:tcW w:w="9287" w:type="dxa"/>
            <w:tcBorders>
              <w:bottom w:val="single" w:color="auto" w:sz="4" w:space="0"/>
            </w:tcBorders>
          </w:tcPr>
          <w:p>
            <w:pPr>
              <w:rPr>
                <w:rFonts w:eastAsia="宋体"/>
                <w:b/>
                <w:sz w:val="24"/>
                <w:szCs w:val="24"/>
              </w:rPr>
            </w:pPr>
            <w:r>
              <w:rPr>
                <w:rFonts w:hint="eastAsia" w:eastAsia="宋体"/>
                <w:b/>
                <w:sz w:val="24"/>
                <w:szCs w:val="24"/>
              </w:rPr>
              <w:t>二、</w:t>
            </w:r>
            <w:r>
              <w:rPr>
                <w:rFonts w:eastAsia="宋体"/>
                <w:b/>
                <w:sz w:val="24"/>
                <w:szCs w:val="24"/>
              </w:rPr>
              <w:t>污染物源强分析：</w:t>
            </w:r>
          </w:p>
          <w:p>
            <w:pPr>
              <w:tabs>
                <w:tab w:val="left" w:pos="360"/>
              </w:tabs>
              <w:snapToGrid w:val="0"/>
              <w:ind w:firstLine="480" w:firstLineChars="200"/>
              <w:rPr>
                <w:rFonts w:eastAsia="宋体"/>
                <w:sz w:val="24"/>
                <w:szCs w:val="24"/>
              </w:rPr>
            </w:pPr>
            <w:r>
              <w:rPr>
                <w:rFonts w:eastAsia="宋体"/>
                <w:sz w:val="24"/>
                <w:szCs w:val="24"/>
              </w:rPr>
              <w:t>本项目</w:t>
            </w:r>
            <w:r>
              <w:rPr>
                <w:rFonts w:hint="eastAsia" w:eastAsia="宋体"/>
                <w:sz w:val="24"/>
                <w:szCs w:val="24"/>
              </w:rPr>
              <w:t>已建成，无施工期污染，本项目只分析营运期污染。</w:t>
            </w:r>
          </w:p>
          <w:p>
            <w:pPr>
              <w:tabs>
                <w:tab w:val="left" w:pos="360"/>
              </w:tabs>
              <w:snapToGrid w:val="0"/>
              <w:ind w:firstLine="482" w:firstLineChars="200"/>
              <w:rPr>
                <w:rFonts w:eastAsia="宋体"/>
                <w:b/>
                <w:sz w:val="24"/>
                <w:szCs w:val="24"/>
              </w:rPr>
            </w:pPr>
            <w:r>
              <w:rPr>
                <w:rFonts w:eastAsia="宋体"/>
                <w:b/>
                <w:sz w:val="24"/>
                <w:szCs w:val="24"/>
              </w:rPr>
              <w:t>1、大气污染物</w:t>
            </w:r>
          </w:p>
          <w:p>
            <w:pPr>
              <w:adjustRightInd w:val="0"/>
              <w:snapToGrid w:val="0"/>
              <w:ind w:firstLine="480" w:firstLineChars="200"/>
              <w:rPr>
                <w:rFonts w:eastAsia="宋体"/>
                <w:sz w:val="24"/>
                <w:szCs w:val="24"/>
              </w:rPr>
            </w:pPr>
            <w:r>
              <w:rPr>
                <w:rFonts w:hint="eastAsia" w:eastAsia="宋体"/>
                <w:sz w:val="24"/>
                <w:szCs w:val="24"/>
              </w:rPr>
              <w:t>（一）有机废气</w:t>
            </w:r>
          </w:p>
          <w:p>
            <w:pPr>
              <w:tabs>
                <w:tab w:val="left" w:pos="360"/>
              </w:tabs>
              <w:snapToGrid w:val="0"/>
              <w:ind w:firstLine="480" w:firstLineChars="200"/>
              <w:rPr>
                <w:rFonts w:eastAsia="宋体"/>
                <w:sz w:val="24"/>
                <w:szCs w:val="24"/>
              </w:rPr>
            </w:pPr>
            <w:r>
              <w:rPr>
                <w:rFonts w:eastAsia="宋体"/>
                <w:sz w:val="24"/>
                <w:szCs w:val="24"/>
              </w:rPr>
              <w:t>本项目年销售汽油</w:t>
            </w:r>
            <w:r>
              <w:rPr>
                <w:rFonts w:hint="eastAsia" w:eastAsia="宋体"/>
                <w:sz w:val="24"/>
                <w:szCs w:val="24"/>
              </w:rPr>
              <w:t>10000</w:t>
            </w:r>
            <w:r>
              <w:rPr>
                <w:rFonts w:eastAsia="宋体"/>
                <w:sz w:val="24"/>
                <w:szCs w:val="24"/>
              </w:rPr>
              <w:t>吨、柴油</w:t>
            </w:r>
            <w:r>
              <w:rPr>
                <w:rFonts w:hint="eastAsia" w:eastAsia="宋体"/>
                <w:sz w:val="24"/>
                <w:szCs w:val="24"/>
              </w:rPr>
              <w:t>1500</w:t>
            </w:r>
            <w:r>
              <w:rPr>
                <w:rFonts w:eastAsia="宋体"/>
                <w:sz w:val="24"/>
                <w:szCs w:val="24"/>
              </w:rPr>
              <w:t>吨。加油站的整个营运过程中油品均在封闭状态下流动，整个过程应杜绝跑、冒、滴、漏。</w:t>
            </w:r>
            <w:r>
              <w:rPr>
                <w:rFonts w:hint="eastAsia" w:eastAsia="宋体"/>
                <w:sz w:val="24"/>
                <w:szCs w:val="24"/>
              </w:rPr>
              <w:t>本项目加油站的油气回收系统按照《加油加气站设计与施工规范》（GB50156-2012，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）、《加油站大气污染物排放标准》(GB20952-2007)、《油气回收系统工程技术导则(加油站篇)》(Q/22SH 0117.1-2007)等相关标准要求进行设计施工。因构成柴油的长链大分子质量脂肪酸酯的蒸汽压相对较低，挥发性差，因此现阶段油气回收系统仅回收汽油油气。《加油加气站设计与施工规范》（GB50156-2012，</w:t>
            </w:r>
            <w:r>
              <w:rPr>
                <w:rFonts w:eastAsia="宋体"/>
                <w:sz w:val="24"/>
                <w:szCs w:val="24"/>
              </w:rPr>
              <w:t>2014</w:t>
            </w:r>
            <w:r>
              <w:rPr>
                <w:rFonts w:hint="eastAsia" w:eastAsia="宋体"/>
                <w:sz w:val="24"/>
                <w:szCs w:val="24"/>
              </w:rPr>
              <w:t>年</w:t>
            </w:r>
            <w:r>
              <w:rPr>
                <w:rFonts w:eastAsia="宋体"/>
                <w:sz w:val="24"/>
                <w:szCs w:val="24"/>
              </w:rPr>
              <w:t>修订版</w:t>
            </w:r>
            <w:r>
              <w:rPr>
                <w:rFonts w:hint="eastAsia" w:eastAsia="宋体"/>
                <w:sz w:val="24"/>
                <w:szCs w:val="24"/>
              </w:rPr>
              <w:t>）中对卸油油气回收系统、加油油气回收系统进行的术语解释为汽油罐及汽油车辆。本项目营运过程中产生的废气主要为成品油卸油、储油、加油过程产生的油气（以非甲烷总烃表征），具体油气产生源强及回收装置分析如下：</w:t>
            </w:r>
          </w:p>
          <w:p>
            <w:pPr>
              <w:tabs>
                <w:tab w:val="left" w:pos="360"/>
              </w:tabs>
              <w:snapToGrid w:val="0"/>
              <w:ind w:firstLine="480" w:firstLineChars="200"/>
              <w:rPr>
                <w:rFonts w:eastAsia="宋体"/>
                <w:sz w:val="24"/>
                <w:szCs w:val="24"/>
              </w:rPr>
            </w:pPr>
            <w:r>
              <w:rPr>
                <w:rFonts w:hint="eastAsia" w:eastAsia="宋体"/>
                <w:sz w:val="24"/>
                <w:szCs w:val="24"/>
              </w:rPr>
              <w:t>（1）</w:t>
            </w:r>
            <w:r>
              <w:rPr>
                <w:rFonts w:eastAsia="宋体"/>
                <w:sz w:val="24"/>
                <w:szCs w:val="24"/>
              </w:rPr>
              <w:t>工作损失</w:t>
            </w:r>
            <w:r>
              <w:rPr>
                <w:rFonts w:hint="eastAsia" w:ascii="宋体" w:hAnsi="宋体" w:eastAsia="宋体" w:cs="宋体"/>
                <w:sz w:val="24"/>
                <w:szCs w:val="24"/>
              </w:rPr>
              <w:t>Ⅰ</w:t>
            </w:r>
            <w:r>
              <w:rPr>
                <w:rFonts w:eastAsia="宋体"/>
                <w:sz w:val="24"/>
                <w:szCs w:val="24"/>
              </w:rPr>
              <w:t>（G1卸油油气）</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1 \* GB3</w:instrText>
            </w:r>
            <w:r>
              <w:rPr>
                <w:rFonts w:eastAsia="宋体"/>
                <w:sz w:val="24"/>
                <w:szCs w:val="24"/>
              </w:rPr>
              <w:fldChar w:fldCharType="separate"/>
            </w:r>
            <w:r>
              <w:rPr>
                <w:rFonts w:hint="eastAsia" w:eastAsia="宋体"/>
                <w:sz w:val="24"/>
                <w:szCs w:val="24"/>
              </w:rPr>
              <w:t>①</w:t>
            </w:r>
            <w:r>
              <w:rPr>
                <w:rFonts w:eastAsia="宋体"/>
                <w:sz w:val="24"/>
                <w:szCs w:val="24"/>
              </w:rPr>
              <w:fldChar w:fldCharType="end"/>
            </w:r>
            <w:r>
              <w:rPr>
                <w:rFonts w:hint="eastAsia" w:eastAsia="宋体"/>
                <w:sz w:val="24"/>
                <w:szCs w:val="24"/>
              </w:rPr>
              <w:t>废气产生情况描述</w:t>
            </w:r>
          </w:p>
          <w:p>
            <w:pPr>
              <w:tabs>
                <w:tab w:val="left" w:pos="360"/>
              </w:tabs>
              <w:snapToGrid w:val="0"/>
              <w:ind w:firstLine="480" w:firstLineChars="200"/>
              <w:rPr>
                <w:rFonts w:eastAsia="宋体"/>
                <w:sz w:val="24"/>
                <w:szCs w:val="24"/>
              </w:rPr>
            </w:pPr>
            <w:r>
              <w:rPr>
                <w:rFonts w:hint="eastAsia" w:eastAsia="宋体"/>
                <w:sz w:val="24"/>
                <w:szCs w:val="24"/>
              </w:rPr>
              <w:t>储罐的大呼吸主要为油罐进油时，使油罐排出内部油蒸气所导致的损失叫“大呼吸”损失。</w:t>
            </w:r>
          </w:p>
          <w:p>
            <w:pPr>
              <w:tabs>
                <w:tab w:val="left" w:pos="360"/>
              </w:tabs>
              <w:snapToGrid w:val="0"/>
              <w:ind w:firstLine="480" w:firstLineChars="200"/>
              <w:rPr>
                <w:rFonts w:eastAsia="宋体"/>
                <w:sz w:val="24"/>
                <w:szCs w:val="24"/>
              </w:rPr>
            </w:pPr>
            <w:r>
              <w:rPr>
                <w:rFonts w:hint="eastAsia" w:eastAsia="宋体"/>
                <w:sz w:val="24"/>
                <w:szCs w:val="24"/>
              </w:rPr>
              <w:t>油罐车卸油时，由于油车与油罐的液位不断变化，气体的吸入与呼出会对油品造成的一定扰动蒸发，另外随着送油车油罐的液面下降，罐壁蒸发面积扩大，外部的高气温也会对其罐壁和空间造成一定的蒸发。本项目汽油卸油采用油气一级回收系统，以减少无组织排放。</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2 \* GB3</w:instrText>
            </w:r>
            <w:r>
              <w:rPr>
                <w:rFonts w:eastAsia="宋体"/>
                <w:sz w:val="24"/>
                <w:szCs w:val="24"/>
              </w:rPr>
              <w:fldChar w:fldCharType="separate"/>
            </w:r>
            <w:r>
              <w:rPr>
                <w:rFonts w:hint="eastAsia" w:eastAsia="宋体"/>
                <w:sz w:val="24"/>
                <w:szCs w:val="24"/>
              </w:rPr>
              <w:t>②</w:t>
            </w:r>
            <w:r>
              <w:rPr>
                <w:rFonts w:eastAsia="宋体"/>
                <w:sz w:val="24"/>
                <w:szCs w:val="24"/>
              </w:rPr>
              <w:fldChar w:fldCharType="end"/>
            </w:r>
            <w:r>
              <w:rPr>
                <w:rFonts w:hint="eastAsia" w:eastAsia="宋体"/>
                <w:sz w:val="24"/>
                <w:szCs w:val="24"/>
              </w:rPr>
              <w:t>卸油（一次）油气回收系统</w:t>
            </w:r>
          </w:p>
          <w:p>
            <w:pPr>
              <w:tabs>
                <w:tab w:val="left" w:pos="360"/>
              </w:tabs>
              <w:snapToGrid w:val="0"/>
              <w:ind w:firstLine="480" w:firstLineChars="200"/>
              <w:rPr>
                <w:rFonts w:eastAsia="宋体"/>
                <w:sz w:val="24"/>
                <w:szCs w:val="24"/>
              </w:rPr>
            </w:pPr>
            <w:r>
              <w:rPr>
                <w:rFonts w:hint="eastAsia" w:eastAsia="宋体"/>
                <w:sz w:val="24"/>
                <w:szCs w:val="24"/>
              </w:rPr>
              <w:t>卸油时，罐车内的油自流注入到储油罐中，油罐中大量油气会被液态油挤出，此为卸油油气。</w:t>
            </w:r>
          </w:p>
          <w:p>
            <w:pPr>
              <w:tabs>
                <w:tab w:val="left" w:pos="360"/>
              </w:tabs>
              <w:snapToGrid w:val="0"/>
              <w:ind w:firstLine="480" w:firstLineChars="200"/>
              <w:rPr>
                <w:rFonts w:eastAsia="宋体"/>
                <w:sz w:val="24"/>
                <w:szCs w:val="24"/>
              </w:rPr>
            </w:pPr>
            <w:r>
              <w:rPr>
                <w:rFonts w:hint="eastAsia" w:eastAsia="宋体"/>
                <w:sz w:val="24"/>
                <w:szCs w:val="24"/>
              </w:rPr>
              <w:t>卸油油气回收是指在油罐入孔盖上增设一根油气回收管道，引到集中卸油箱内的卸油口处，在油气回收管道口安装截止阀和快速接头。卸油时，卸油软管连接罐车出油口和罐区卸油口，油气回收软管连接罐车油气回收口和卸油口的油气回收管道接口。当罐车内油流入油罐时，油罐内油气通过连通管进入到罐内，再通过油气回收管道流入到罐车内，即用相同体积的汽油将汽油罐内相同体积的油气置换到罐车内，达到油气回收的目的，油罐车将油气带回油库进行处理。</w:t>
            </w:r>
          </w:p>
          <w:p>
            <w:pPr>
              <w:tabs>
                <w:tab w:val="left" w:pos="360"/>
              </w:tabs>
              <w:snapToGrid w:val="0"/>
              <w:ind w:firstLine="480" w:firstLineChars="200"/>
              <w:rPr>
                <w:rFonts w:eastAsia="宋体"/>
                <w:sz w:val="24"/>
                <w:szCs w:val="24"/>
              </w:rPr>
            </w:pPr>
            <w:r>
              <w:rPr>
                <w:rFonts w:hint="eastAsia" w:eastAsia="宋体"/>
                <w:sz w:val="24"/>
                <w:szCs w:val="24"/>
              </w:rPr>
              <w:t>该回收系统将各个油罐通气管进行连通，一根通气管顶部安装压力真空阀，正常工作时使用，该通气管上安装的截止阀常开；另一根通气管顶部安装防爆阻火呼吸阀，检修压力真空阀时使用，该通气管上安装的截止阀常闭。卸油油气回收系统示意图见图5-2，实景图见图5-3。</w:t>
            </w:r>
          </w:p>
          <w:p>
            <w:pPr>
              <w:pStyle w:val="25"/>
              <w:spacing w:line="240" w:lineRule="auto"/>
              <w:ind w:firstLine="280"/>
            </w:pPr>
            <w:r>
              <w:drawing>
                <wp:inline distT="0" distB="0" distL="0" distR="0">
                  <wp:extent cx="5438775" cy="3438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38775" cy="3438525"/>
                          </a:xfrm>
                          <a:prstGeom prst="rect">
                            <a:avLst/>
                          </a:prstGeom>
                        </pic:spPr>
                      </pic:pic>
                    </a:graphicData>
                  </a:graphic>
                </wp:inline>
              </w:drawing>
            </w:r>
          </w:p>
          <w:p>
            <w:pPr>
              <w:pStyle w:val="25"/>
              <w:spacing w:line="240" w:lineRule="auto"/>
              <w:ind w:firstLine="240"/>
              <w:jc w:val="center"/>
              <w:rPr>
                <w:rFonts w:eastAsia="宋体"/>
                <w:sz w:val="24"/>
                <w:szCs w:val="24"/>
              </w:rPr>
            </w:pPr>
            <w:r>
              <w:rPr>
                <w:rFonts w:hint="eastAsia" w:eastAsia="宋体"/>
                <w:sz w:val="24"/>
                <w:szCs w:val="24"/>
              </w:rPr>
              <w:t>图5-2 卸油油气回收系统示意图</w:t>
            </w:r>
          </w:p>
          <w:p>
            <w:pPr>
              <w:tabs>
                <w:tab w:val="left" w:pos="360"/>
              </w:tabs>
              <w:snapToGrid w:val="0"/>
              <w:ind w:firstLine="460" w:firstLineChars="192"/>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考虑到油蒸气的主要成分是VOC , 因此假设油气蒸发量在数值上近似等于VOC 排放量，以非甲烷总烃表征。</w:t>
            </w:r>
          </w:p>
          <w:p>
            <w:pPr>
              <w:tabs>
                <w:tab w:val="left" w:pos="360"/>
              </w:tabs>
              <w:snapToGrid w:val="0"/>
              <w:ind w:firstLine="480" w:firstLineChars="200"/>
              <w:rPr>
                <w:rFonts w:eastAsia="宋体"/>
                <w:sz w:val="24"/>
                <w:szCs w:val="24"/>
              </w:rPr>
            </w:pPr>
            <w:r>
              <w:rPr>
                <w:rFonts w:hint="eastAsia" w:eastAsia="宋体"/>
                <w:sz w:val="24"/>
                <w:szCs w:val="24"/>
              </w:rPr>
              <w:t>本环评采用《石油库节能设计导则》（SH/T3002-2000）中公式来计算本项目大呼吸油气损耗产生量，具体公式如下：</w:t>
            </w:r>
          </w:p>
          <w:p>
            <w:pPr>
              <w:tabs>
                <w:tab w:val="left" w:pos="360"/>
              </w:tabs>
              <w:snapToGrid w:val="0"/>
              <w:ind w:firstLine="537" w:firstLineChars="192"/>
              <w:rPr>
                <w:rFonts w:eastAsia="宋体"/>
                <w:sz w:val="24"/>
                <w:szCs w:val="24"/>
              </w:rPr>
            </w:pPr>
            <w:r>
              <w:drawing>
                <wp:inline distT="0" distB="0" distL="0" distR="0">
                  <wp:extent cx="2914650" cy="6381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2914286" cy="638588"/>
                          </a:xfrm>
                          <a:prstGeom prst="rect">
                            <a:avLst/>
                          </a:prstGeom>
                        </pic:spPr>
                      </pic:pic>
                    </a:graphicData>
                  </a:graphic>
                </wp:inline>
              </w:drawing>
            </w:r>
          </w:p>
          <w:p>
            <w:pPr>
              <w:pStyle w:val="25"/>
              <w:ind w:firstLine="280"/>
            </w:pPr>
            <w:r>
              <w:drawing>
                <wp:inline distT="0" distB="0" distL="0" distR="0">
                  <wp:extent cx="838200" cy="4730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38095" cy="473469"/>
                          </a:xfrm>
                          <a:prstGeom prst="rect">
                            <a:avLst/>
                          </a:prstGeom>
                        </pic:spPr>
                      </pic:pic>
                    </a:graphicData>
                  </a:graphic>
                </wp:inline>
              </w:drawing>
            </w:r>
            <w:r>
              <w:drawing>
                <wp:inline distT="0" distB="0" distL="0" distR="0">
                  <wp:extent cx="4142740" cy="37084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4142857" cy="371429"/>
                          </a:xfrm>
                          <a:prstGeom prst="rect">
                            <a:avLst/>
                          </a:prstGeom>
                        </pic:spPr>
                      </pic:pic>
                    </a:graphicData>
                  </a:graphic>
                </wp:inline>
              </w:drawing>
            </w:r>
          </w:p>
          <w:p>
            <w:pPr>
              <w:pStyle w:val="25"/>
              <w:ind w:firstLine="210"/>
            </w:pPr>
            <w:r>
              <w:rPr>
                <w:rStyle w:val="36"/>
                <w:rFonts w:hint="eastAsia"/>
              </w:rPr>
              <w:t xml:space="preserve"> </w:t>
            </w:r>
            <w:r>
              <w:drawing>
                <wp:inline distT="0" distB="0" distL="0" distR="0">
                  <wp:extent cx="1942465" cy="63754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1942857" cy="638095"/>
                          </a:xfrm>
                          <a:prstGeom prst="rect">
                            <a:avLst/>
                          </a:prstGeom>
                        </pic:spPr>
                      </pic:pic>
                    </a:graphicData>
                  </a:graphic>
                </wp:inline>
              </w:drawing>
            </w:r>
          </w:p>
          <w:p>
            <w:pPr>
              <w:pStyle w:val="25"/>
              <w:spacing w:line="240" w:lineRule="auto"/>
              <w:ind w:firstLine="720" w:firstLineChars="300"/>
              <w:rPr>
                <w:rFonts w:eastAsiaTheme="minorEastAsia"/>
                <w:sz w:val="24"/>
                <w:szCs w:val="24"/>
              </w:rPr>
            </w:pPr>
            <w:r>
              <w:rPr>
                <w:rFonts w:eastAsiaTheme="minorEastAsia"/>
                <w:sz w:val="24"/>
                <w:szCs w:val="24"/>
              </w:rPr>
              <w:t>L</w:t>
            </w:r>
            <w:r>
              <w:rPr>
                <w:rFonts w:eastAsiaTheme="minorEastAsia"/>
                <w:sz w:val="24"/>
                <w:szCs w:val="24"/>
                <w:vertAlign w:val="subscript"/>
              </w:rPr>
              <w:t>DW</w:t>
            </w:r>
            <w:r>
              <w:rPr>
                <w:rFonts w:eastAsiaTheme="minorEastAsia"/>
                <w:sz w:val="24"/>
                <w:szCs w:val="24"/>
              </w:rPr>
              <w:t>—拱顶罐年大呼吸蒸发损耗量（m</w:t>
            </w:r>
            <w:r>
              <w:rPr>
                <w:rFonts w:eastAsiaTheme="minorEastAsia"/>
                <w:sz w:val="24"/>
                <w:szCs w:val="24"/>
                <w:vertAlign w:val="superscript"/>
              </w:rPr>
              <w:t>3</w:t>
            </w:r>
            <w:r>
              <w:rPr>
                <w:rFonts w:eastAsiaTheme="minorEastAsia"/>
                <w:sz w:val="24"/>
                <w:szCs w:val="24"/>
              </w:rPr>
              <w:t>/a）；</w:t>
            </w:r>
          </w:p>
          <w:p>
            <w:pPr>
              <w:pStyle w:val="25"/>
              <w:spacing w:line="240" w:lineRule="auto"/>
              <w:ind w:firstLine="720" w:firstLineChars="300"/>
              <w:rPr>
                <w:rFonts w:eastAsiaTheme="minorEastAsia"/>
                <w:sz w:val="24"/>
                <w:szCs w:val="24"/>
              </w:rPr>
            </w:pPr>
            <w:r>
              <w:rPr>
                <w:rFonts w:eastAsiaTheme="minorEastAsia"/>
                <w:sz w:val="24"/>
                <w:szCs w:val="24"/>
              </w:rPr>
              <w:t>V</w:t>
            </w:r>
            <w:r>
              <w:rPr>
                <w:rFonts w:eastAsiaTheme="minorEastAsia"/>
                <w:sz w:val="24"/>
                <w:szCs w:val="24"/>
                <w:vertAlign w:val="subscript"/>
              </w:rPr>
              <w:t>1</w:t>
            </w:r>
            <w:r>
              <w:rPr>
                <w:rFonts w:eastAsiaTheme="minorEastAsia"/>
                <w:sz w:val="24"/>
                <w:szCs w:val="24"/>
              </w:rPr>
              <w:t>—泵送液体入罐量（m</w:t>
            </w:r>
            <w:r>
              <w:rPr>
                <w:rFonts w:eastAsiaTheme="minorEastAsia"/>
                <w:sz w:val="24"/>
                <w:szCs w:val="24"/>
                <w:vertAlign w:val="superscript"/>
              </w:rPr>
              <w:t>3</w:t>
            </w:r>
            <w:r>
              <w:rPr>
                <w:rFonts w:eastAsiaTheme="minorEastAsia"/>
                <w:sz w:val="24"/>
                <w:szCs w:val="24"/>
              </w:rPr>
              <w:t>）；</w:t>
            </w:r>
          </w:p>
          <w:p>
            <w:pPr>
              <w:pStyle w:val="25"/>
              <w:spacing w:line="240" w:lineRule="auto"/>
              <w:ind w:firstLine="720" w:firstLineChars="300"/>
              <w:rPr>
                <w:rFonts w:eastAsiaTheme="minorEastAsia"/>
                <w:sz w:val="24"/>
                <w:szCs w:val="24"/>
              </w:rPr>
            </w:pPr>
            <w:r>
              <w:rPr>
                <w:rFonts w:eastAsiaTheme="minorEastAsia"/>
                <w:sz w:val="24"/>
                <w:szCs w:val="24"/>
              </w:rPr>
              <w:t>N—油罐年周转次数；</w:t>
            </w:r>
          </w:p>
          <w:p>
            <w:pPr>
              <w:pStyle w:val="25"/>
              <w:spacing w:line="240" w:lineRule="auto"/>
              <w:ind w:firstLine="720" w:firstLineChars="300"/>
              <w:rPr>
                <w:rFonts w:eastAsiaTheme="minorEastAsia"/>
                <w:sz w:val="24"/>
                <w:szCs w:val="24"/>
              </w:rPr>
            </w:pPr>
            <w:r>
              <w:rPr>
                <w:rFonts w:eastAsiaTheme="minorEastAsia"/>
                <w:sz w:val="24"/>
                <w:szCs w:val="24"/>
              </w:rPr>
              <w:t>Q—油罐年周转量（m</w:t>
            </w:r>
            <w:r>
              <w:rPr>
                <w:rFonts w:eastAsiaTheme="minorEastAsia"/>
                <w:sz w:val="24"/>
                <w:szCs w:val="24"/>
                <w:vertAlign w:val="superscript"/>
              </w:rPr>
              <w:t>3</w:t>
            </w:r>
            <w:r>
              <w:rPr>
                <w:rFonts w:eastAsiaTheme="minorEastAsia"/>
                <w:sz w:val="24"/>
                <w:szCs w:val="24"/>
              </w:rPr>
              <w:t>/a）；</w:t>
            </w:r>
          </w:p>
          <w:p>
            <w:pPr>
              <w:pStyle w:val="25"/>
              <w:spacing w:line="240" w:lineRule="auto"/>
              <w:ind w:firstLine="720" w:firstLineChars="300"/>
              <w:rPr>
                <w:rFonts w:eastAsiaTheme="minorEastAsia"/>
                <w:sz w:val="24"/>
                <w:szCs w:val="24"/>
              </w:rPr>
            </w:pPr>
            <w:r>
              <w:rPr>
                <w:rFonts w:eastAsiaTheme="minorEastAsia"/>
                <w:sz w:val="24"/>
                <w:szCs w:val="24"/>
              </w:rPr>
              <w:t>V—油罐容积（m</w:t>
            </w:r>
            <w:r>
              <w:rPr>
                <w:rFonts w:eastAsiaTheme="minorEastAsia"/>
                <w:sz w:val="24"/>
                <w:szCs w:val="24"/>
                <w:vertAlign w:val="superscript"/>
              </w:rPr>
              <w:t>3</w:t>
            </w:r>
            <w:r>
              <w:rPr>
                <w:rFonts w:eastAsiaTheme="minorEastAsia"/>
                <w:sz w:val="24"/>
                <w:szCs w:val="24"/>
              </w:rPr>
              <w:t>）；</w:t>
            </w:r>
          </w:p>
          <w:p>
            <w:pPr>
              <w:pStyle w:val="25"/>
              <w:spacing w:line="240" w:lineRule="auto"/>
              <w:ind w:firstLine="720" w:firstLineChars="300"/>
              <w:rPr>
                <w:rFonts w:eastAsiaTheme="minorEastAsia"/>
                <w:sz w:val="24"/>
                <w:szCs w:val="24"/>
              </w:rPr>
            </w:pPr>
            <w:r>
              <w:rPr>
                <w:rFonts w:eastAsiaTheme="minorEastAsia"/>
                <w:sz w:val="24"/>
                <w:szCs w:val="24"/>
              </w:rPr>
              <w:t>K—单位换算常数；</w:t>
            </w:r>
          </w:p>
          <w:p>
            <w:pPr>
              <w:pStyle w:val="25"/>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T</w:t>
            </w:r>
            <w:r>
              <w:rPr>
                <w:rFonts w:eastAsiaTheme="minorEastAsia"/>
                <w:sz w:val="24"/>
                <w:szCs w:val="24"/>
              </w:rPr>
              <w:t>—周转系数；</w:t>
            </w:r>
          </w:p>
          <w:p>
            <w:pPr>
              <w:pStyle w:val="25"/>
              <w:spacing w:line="240" w:lineRule="auto"/>
              <w:ind w:firstLine="720" w:firstLineChars="300"/>
              <w:rPr>
                <w:rFonts w:eastAsiaTheme="minorEastAsia"/>
                <w:sz w:val="24"/>
                <w:szCs w:val="24"/>
              </w:rPr>
            </w:pPr>
            <w:r>
              <w:rPr>
                <w:rFonts w:eastAsiaTheme="minorEastAsia"/>
                <w:sz w:val="24"/>
                <w:szCs w:val="24"/>
              </w:rPr>
              <w:t>K</w:t>
            </w:r>
            <w:r>
              <w:rPr>
                <w:rFonts w:eastAsiaTheme="minorEastAsia"/>
                <w:sz w:val="24"/>
                <w:szCs w:val="24"/>
                <w:vertAlign w:val="subscript"/>
              </w:rPr>
              <w:t>1</w:t>
            </w:r>
            <w:r>
              <w:rPr>
                <w:rFonts w:eastAsiaTheme="minorEastAsia"/>
                <w:sz w:val="24"/>
                <w:szCs w:val="24"/>
              </w:rPr>
              <w:t>—油品系数；</w:t>
            </w:r>
          </w:p>
          <w:p>
            <w:pPr>
              <w:pStyle w:val="25"/>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w:t>
            </w:r>
            <w:r>
              <w:rPr>
                <w:rFonts w:eastAsiaTheme="minorEastAsia"/>
                <w:sz w:val="24"/>
                <w:szCs w:val="24"/>
              </w:rPr>
              <w:t>—油品平均温度下的蒸气压（kPa）；</w:t>
            </w:r>
          </w:p>
          <w:p>
            <w:pPr>
              <w:pStyle w:val="25"/>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y1</w:t>
            </w:r>
            <w:r>
              <w:rPr>
                <w:rFonts w:eastAsiaTheme="minorEastAsia"/>
                <w:sz w:val="24"/>
                <w:szCs w:val="24"/>
              </w:rPr>
              <w:t>—油罐内液面最低温度所对应的蒸气压（kPa）；</w:t>
            </w:r>
          </w:p>
          <w:p>
            <w:pPr>
              <w:pStyle w:val="25"/>
              <w:spacing w:line="240" w:lineRule="auto"/>
              <w:ind w:firstLine="720" w:firstLineChars="300"/>
              <w:rPr>
                <w:rFonts w:eastAsiaTheme="minorEastAsia"/>
                <w:sz w:val="24"/>
                <w:szCs w:val="24"/>
              </w:rPr>
            </w:pPr>
            <w:r>
              <w:rPr>
                <w:rFonts w:eastAsiaTheme="minorEastAsia"/>
                <w:sz w:val="24"/>
                <w:szCs w:val="24"/>
              </w:rPr>
              <w:t>P</w:t>
            </w:r>
            <w:r>
              <w:rPr>
                <w:rFonts w:eastAsiaTheme="minorEastAsia"/>
                <w:sz w:val="24"/>
                <w:szCs w:val="24"/>
                <w:vertAlign w:val="subscript"/>
              </w:rPr>
              <w:t>y2</w:t>
            </w:r>
            <w:r>
              <w:rPr>
                <w:rFonts w:eastAsiaTheme="minorEastAsia"/>
                <w:sz w:val="24"/>
                <w:szCs w:val="24"/>
              </w:rPr>
              <w:t>—油罐内液面最高温度所对应的蒸气压（kPa）；</w:t>
            </w:r>
          </w:p>
          <w:p>
            <w:pPr>
              <w:pStyle w:val="25"/>
              <w:spacing w:line="240" w:lineRule="auto"/>
              <w:ind w:firstLine="720" w:firstLineChars="300"/>
              <w:rPr>
                <w:rFonts w:eastAsiaTheme="minorEastAsia"/>
                <w:sz w:val="24"/>
                <w:szCs w:val="24"/>
              </w:rPr>
            </w:pPr>
            <w:r>
              <w:rPr>
                <w:rFonts w:eastAsiaTheme="minorEastAsia"/>
                <w:sz w:val="24"/>
                <w:szCs w:val="24"/>
              </w:rPr>
              <w:t>μ</w:t>
            </w:r>
            <w:r>
              <w:rPr>
                <w:rFonts w:eastAsiaTheme="minorEastAsia"/>
                <w:sz w:val="24"/>
                <w:szCs w:val="24"/>
                <w:vertAlign w:val="subscript"/>
              </w:rPr>
              <w:t>y</w:t>
            </w:r>
            <w:r>
              <w:rPr>
                <w:rFonts w:eastAsiaTheme="minorEastAsia"/>
                <w:sz w:val="24"/>
                <w:szCs w:val="24"/>
              </w:rPr>
              <w:t>—油蒸汽摩尔质量（kg/kmol），68 kg/kmol；</w:t>
            </w:r>
          </w:p>
          <w:p>
            <w:pPr>
              <w:tabs>
                <w:tab w:val="left" w:pos="360"/>
              </w:tabs>
              <w:snapToGrid w:val="0"/>
              <w:ind w:firstLine="460" w:firstLineChars="192"/>
              <w:rPr>
                <w:rFonts w:eastAsia="宋体"/>
                <w:sz w:val="24"/>
                <w:szCs w:val="24"/>
              </w:rPr>
            </w:pPr>
            <w:r>
              <w:rPr>
                <w:rFonts w:hint="eastAsia" w:eastAsia="宋体"/>
                <w:sz w:val="24"/>
                <w:szCs w:val="24"/>
              </w:rPr>
              <w:t>具体参数选取见下表：</w:t>
            </w:r>
          </w:p>
          <w:p>
            <w:pPr>
              <w:snapToGrid w:val="0"/>
              <w:jc w:val="center"/>
              <w:rPr>
                <w:rFonts w:eastAsia="宋体"/>
                <w:b/>
                <w:sz w:val="24"/>
                <w:szCs w:val="24"/>
              </w:rPr>
            </w:pPr>
            <w:r>
              <w:rPr>
                <w:rFonts w:eastAsia="宋体"/>
                <w:b/>
                <w:sz w:val="24"/>
                <w:szCs w:val="24"/>
              </w:rPr>
              <w:t xml:space="preserve">表5-1  </w:t>
            </w:r>
            <w:r>
              <w:rPr>
                <w:rFonts w:hint="eastAsia" w:eastAsia="宋体"/>
                <w:b/>
                <w:sz w:val="24"/>
                <w:szCs w:val="24"/>
              </w:rPr>
              <w:t>“大呼吸”废气计算参数选择</w:t>
            </w:r>
          </w:p>
          <w:tbl>
            <w:tblPr>
              <w:tblStyle w:val="2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65"/>
              <w:gridCol w:w="484"/>
              <w:gridCol w:w="820"/>
              <w:gridCol w:w="519"/>
              <w:gridCol w:w="634"/>
              <w:gridCol w:w="1069"/>
              <w:gridCol w:w="861"/>
              <w:gridCol w:w="1037"/>
              <w:gridCol w:w="663"/>
              <w:gridCol w:w="12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hint="eastAsia" w:eastAsia="宋体"/>
                      <w:sz w:val="21"/>
                      <w:szCs w:val="21"/>
                    </w:rPr>
                    <w:t>参数</w:t>
                  </w:r>
                </w:p>
              </w:tc>
              <w:tc>
                <w:tcPr>
                  <w:tcW w:w="965"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T</w:t>
                  </w:r>
                </w:p>
              </w:tc>
              <w:tc>
                <w:tcPr>
                  <w:tcW w:w="48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r>
                    <w:rPr>
                      <w:rFonts w:eastAsiaTheme="minorEastAsia"/>
                      <w:sz w:val="24"/>
                      <w:szCs w:val="24"/>
                      <w:vertAlign w:val="subscript"/>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P</w:t>
                  </w:r>
                  <w:r>
                    <w:rPr>
                      <w:rFonts w:eastAsiaTheme="minorEastAsia"/>
                      <w:sz w:val="24"/>
                      <w:szCs w:val="24"/>
                      <w:vertAlign w:val="subscript"/>
                    </w:rPr>
                    <w:t>y</w:t>
                  </w:r>
                </w:p>
              </w:tc>
              <w:tc>
                <w:tcPr>
                  <w:tcW w:w="51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μ</w:t>
                  </w:r>
                  <w:r>
                    <w:rPr>
                      <w:rFonts w:eastAsiaTheme="minorEastAsia"/>
                      <w:sz w:val="24"/>
                      <w:szCs w:val="24"/>
                      <w:vertAlign w:val="subscript"/>
                    </w:rPr>
                    <w:t>y</w:t>
                  </w:r>
                </w:p>
              </w:tc>
              <w:tc>
                <w:tcPr>
                  <w:tcW w:w="63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K</w:t>
                  </w:r>
                </w:p>
              </w:tc>
              <w:tc>
                <w:tcPr>
                  <w:tcW w:w="1069"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r>
                    <w:rPr>
                      <w:rFonts w:eastAsiaTheme="minorEastAsia"/>
                      <w:sz w:val="24"/>
                      <w:szCs w:val="24"/>
                      <w:vertAlign w:val="subscript"/>
                    </w:rPr>
                    <w:t>1</w:t>
                  </w:r>
                </w:p>
              </w:tc>
              <w:tc>
                <w:tcPr>
                  <w:tcW w:w="861"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N</w:t>
                  </w:r>
                </w:p>
              </w:tc>
              <w:tc>
                <w:tcPr>
                  <w:tcW w:w="1037"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Q</w:t>
                  </w:r>
                </w:p>
              </w:tc>
              <w:tc>
                <w:tcPr>
                  <w:tcW w:w="663"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V</w:t>
                  </w:r>
                </w:p>
              </w:tc>
              <w:tc>
                <w:tcPr>
                  <w:tcW w:w="1294" w:type="dxa"/>
                  <w:vAlign w:val="center"/>
                </w:tcPr>
                <w:p>
                  <w:pPr>
                    <w:widowControl w:val="0"/>
                    <w:tabs>
                      <w:tab w:val="center" w:pos="4153"/>
                      <w:tab w:val="right" w:pos="8306"/>
                    </w:tabs>
                    <w:snapToGrid w:val="0"/>
                    <w:spacing w:line="240" w:lineRule="auto"/>
                    <w:jc w:val="center"/>
                    <w:rPr>
                      <w:rFonts w:eastAsia="宋体"/>
                      <w:sz w:val="21"/>
                      <w:szCs w:val="21"/>
                      <w:highlight w:val="yellow"/>
                    </w:rPr>
                  </w:pPr>
                  <w:r>
                    <w:rPr>
                      <w:rFonts w:eastAsiaTheme="minorEastAsia"/>
                      <w:sz w:val="24"/>
                      <w:szCs w:val="24"/>
                    </w:rPr>
                    <w:t>L</w:t>
                  </w:r>
                  <w:r>
                    <w:rPr>
                      <w:rFonts w:eastAsiaTheme="minorEastAsia"/>
                      <w:sz w:val="24"/>
                      <w:szCs w:val="24"/>
                      <w:vertAlign w:val="subscript"/>
                    </w:rPr>
                    <w:t>DW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w:t>
                  </w:r>
                </w:p>
              </w:tc>
              <w:tc>
                <w:tcPr>
                  <w:tcW w:w="96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0.22067</w:t>
                  </w:r>
                </w:p>
              </w:tc>
              <w:tc>
                <w:tcPr>
                  <w:tcW w:w="48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62.5</w:t>
                  </w:r>
                </w:p>
              </w:tc>
              <w:tc>
                <w:tcPr>
                  <w:tcW w:w="51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6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06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13333.33</w:t>
                  </w:r>
                </w:p>
              </w:tc>
              <w:tc>
                <w:tcPr>
                  <w:tcW w:w="86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555.56</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13333.33</w:t>
                  </w:r>
                </w:p>
              </w:tc>
              <w:tc>
                <w:tcPr>
                  <w:tcW w:w="66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w:t>
                  </w:r>
                </w:p>
              </w:tc>
              <w:tc>
                <w:tcPr>
                  <w:tcW w:w="12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8.526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柴油</w:t>
                  </w:r>
                </w:p>
              </w:tc>
              <w:tc>
                <w:tcPr>
                  <w:tcW w:w="96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0.589</w:t>
                  </w:r>
                </w:p>
              </w:tc>
              <w:tc>
                <w:tcPr>
                  <w:tcW w:w="48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w:t>
                  </w:r>
                </w:p>
              </w:tc>
              <w:tc>
                <w:tcPr>
                  <w:tcW w:w="8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0.0001</w:t>
                  </w:r>
                </w:p>
              </w:tc>
              <w:tc>
                <w:tcPr>
                  <w:tcW w:w="51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68</w:t>
                  </w:r>
                </w:p>
              </w:tc>
              <w:tc>
                <w:tcPr>
                  <w:tcW w:w="6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51.6</w:t>
                  </w:r>
                </w:p>
              </w:tc>
              <w:tc>
                <w:tcPr>
                  <w:tcW w:w="106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1704.54</w:t>
                  </w:r>
                </w:p>
              </w:tc>
              <w:tc>
                <w:tcPr>
                  <w:tcW w:w="86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71.023</w:t>
                  </w:r>
                </w:p>
              </w:tc>
              <w:tc>
                <w:tcPr>
                  <w:tcW w:w="10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1704.54</w:t>
                  </w:r>
                </w:p>
              </w:tc>
              <w:tc>
                <w:tcPr>
                  <w:tcW w:w="66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24</w:t>
                  </w:r>
                </w:p>
              </w:tc>
              <w:tc>
                <w:tcPr>
                  <w:tcW w:w="12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4.655×10</w:t>
                  </w:r>
                  <w:r>
                    <w:rPr>
                      <w:rFonts w:hint="eastAsia" w:eastAsia="宋体"/>
                      <w:sz w:val="21"/>
                      <w:szCs w:val="21"/>
                      <w:vertAlign w:val="superscript"/>
                    </w:rPr>
                    <w:t>-6</w:t>
                  </w:r>
                </w:p>
              </w:tc>
            </w:tr>
          </w:tbl>
          <w:p>
            <w:pPr>
              <w:pStyle w:val="25"/>
              <w:snapToGrid w:val="0"/>
              <w:spacing w:after="0" w:line="240" w:lineRule="auto"/>
              <w:ind w:firstLine="630" w:firstLineChars="300"/>
              <w:rPr>
                <w:rFonts w:eastAsiaTheme="minorEastAsia"/>
                <w:sz w:val="21"/>
                <w:szCs w:val="24"/>
              </w:rPr>
            </w:pPr>
            <w:r>
              <w:rPr>
                <w:rFonts w:hint="eastAsia" w:eastAsiaTheme="minorEastAsia"/>
                <w:sz w:val="21"/>
                <w:szCs w:val="24"/>
              </w:rPr>
              <w:t>注：汽油蒸汽压选取依据：本项目汽油为国Ⅵ，根据《车用汽油》（GB17930-2016），车用汽油（国Ⅵ）蒸气压为40~85kPa，本次计算取平均值62.5kPa。</w:t>
            </w:r>
          </w:p>
          <w:p>
            <w:pPr>
              <w:pStyle w:val="25"/>
              <w:snapToGrid w:val="0"/>
              <w:spacing w:after="0" w:line="240" w:lineRule="auto"/>
              <w:ind w:firstLine="630" w:firstLineChars="300"/>
              <w:rPr>
                <w:rFonts w:eastAsiaTheme="minorEastAsia"/>
                <w:sz w:val="21"/>
                <w:szCs w:val="24"/>
              </w:rPr>
            </w:pPr>
            <w:r>
              <w:rPr>
                <w:rFonts w:hint="eastAsia" w:eastAsiaTheme="minorEastAsia"/>
                <w:sz w:val="21"/>
                <w:szCs w:val="24"/>
              </w:rPr>
              <w:t>柴油蒸汽压选取依据：由于构成柴油的长链大分子质量脂肪酸酯的挥发性差，蒸气压相对较低，实验测量精度随之下降，已有研究表明这些低蒸气压数据的一致性较差。根据本地土壤平均温度约17℃，本次计算柴油蒸汽压保守取1*10</w:t>
            </w:r>
            <w:r>
              <w:rPr>
                <w:rFonts w:hint="eastAsia" w:eastAsiaTheme="minorEastAsia"/>
                <w:sz w:val="21"/>
                <w:szCs w:val="24"/>
                <w:vertAlign w:val="superscript"/>
              </w:rPr>
              <w:t>-4</w:t>
            </w:r>
            <w:r>
              <w:rPr>
                <w:rFonts w:hint="eastAsia" w:eastAsiaTheme="minorEastAsia"/>
                <w:sz w:val="21"/>
                <w:szCs w:val="24"/>
              </w:rPr>
              <w:t>kPa（50℃下数据）。</w:t>
            </w:r>
          </w:p>
          <w:p>
            <w:pPr>
              <w:pStyle w:val="25"/>
              <w:snapToGrid w:val="0"/>
              <w:spacing w:after="0"/>
              <w:ind w:firstLine="480" w:firstLineChars="200"/>
              <w:rPr>
                <w:rFonts w:eastAsiaTheme="minorEastAsia"/>
                <w:sz w:val="24"/>
                <w:szCs w:val="24"/>
              </w:rPr>
            </w:pPr>
            <w:r>
              <w:rPr>
                <w:rFonts w:hint="eastAsia" w:eastAsiaTheme="minorEastAsia"/>
                <w:sz w:val="24"/>
                <w:szCs w:val="24"/>
              </w:rPr>
              <w:t>根据以上</w:t>
            </w:r>
            <w:r>
              <w:rPr>
                <w:rFonts w:hint="eastAsia" w:eastAsia="宋体"/>
                <w:sz w:val="24"/>
                <w:szCs w:val="24"/>
              </w:rPr>
              <w:t>计算</w:t>
            </w:r>
            <w:r>
              <w:rPr>
                <w:rFonts w:hint="eastAsia" w:eastAsiaTheme="minorEastAsia"/>
                <w:sz w:val="24"/>
                <w:szCs w:val="24"/>
              </w:rPr>
              <w:t>，本项目汽油大呼吸产生量为8.526m</w:t>
            </w:r>
            <w:r>
              <w:rPr>
                <w:rFonts w:hint="eastAsia" w:eastAsiaTheme="minorEastAsia"/>
                <w:sz w:val="24"/>
                <w:szCs w:val="24"/>
                <w:vertAlign w:val="superscript"/>
              </w:rPr>
              <w:t>3</w:t>
            </w:r>
            <w:r>
              <w:rPr>
                <w:rFonts w:hint="eastAsia" w:eastAsiaTheme="minorEastAsia"/>
                <w:sz w:val="24"/>
                <w:szCs w:val="24"/>
              </w:rPr>
              <w:t>/a（6.3945t/a），卸油油气回收系统效率以99.5%计，则排放量为0.0320t/a；柴油大呼吸产生量为4.655</w:t>
            </w:r>
            <w:r>
              <w:rPr>
                <w:rFonts w:hint="eastAsia" w:eastAsia="宋体"/>
                <w:sz w:val="24"/>
                <w:szCs w:val="24"/>
              </w:rPr>
              <w:t>×10</w:t>
            </w:r>
            <w:r>
              <w:rPr>
                <w:rFonts w:hint="eastAsia" w:eastAsia="宋体"/>
                <w:sz w:val="24"/>
                <w:szCs w:val="24"/>
                <w:vertAlign w:val="superscript"/>
              </w:rPr>
              <w:t>-6</w:t>
            </w:r>
            <w:r>
              <w:rPr>
                <w:rFonts w:hint="eastAsia" w:eastAsiaTheme="minorEastAsia"/>
                <w:sz w:val="24"/>
                <w:szCs w:val="24"/>
              </w:rPr>
              <w:t>m</w:t>
            </w:r>
            <w:r>
              <w:rPr>
                <w:rFonts w:hint="eastAsia" w:eastAsiaTheme="minorEastAsia"/>
                <w:sz w:val="24"/>
                <w:szCs w:val="24"/>
                <w:vertAlign w:val="superscript"/>
              </w:rPr>
              <w:t>3</w:t>
            </w:r>
            <w:r>
              <w:rPr>
                <w:rFonts w:hint="eastAsia" w:eastAsiaTheme="minorEastAsia"/>
                <w:sz w:val="24"/>
                <w:szCs w:val="24"/>
              </w:rPr>
              <w:t>/a（4.0964</w:t>
            </w:r>
            <w:r>
              <w:rPr>
                <w:rFonts w:hint="eastAsia" w:eastAsia="宋体"/>
                <w:sz w:val="24"/>
                <w:szCs w:val="24"/>
              </w:rPr>
              <w:t>×10</w:t>
            </w:r>
            <w:r>
              <w:rPr>
                <w:rFonts w:hint="eastAsia" w:eastAsia="宋体"/>
                <w:sz w:val="24"/>
                <w:szCs w:val="24"/>
                <w:vertAlign w:val="superscript"/>
              </w:rPr>
              <w:t>-6</w:t>
            </w:r>
            <w:r>
              <w:rPr>
                <w:rFonts w:hint="eastAsia" w:eastAsiaTheme="minorEastAsia"/>
                <w:sz w:val="24"/>
                <w:szCs w:val="24"/>
              </w:rPr>
              <w:t>t/a），排放量为4.0964</w:t>
            </w:r>
            <w:r>
              <w:rPr>
                <w:rFonts w:hint="eastAsia" w:eastAsia="宋体"/>
                <w:sz w:val="24"/>
                <w:szCs w:val="24"/>
              </w:rPr>
              <w:t>×10</w:t>
            </w:r>
            <w:r>
              <w:rPr>
                <w:rFonts w:hint="eastAsia" w:eastAsia="宋体"/>
                <w:sz w:val="24"/>
                <w:szCs w:val="24"/>
                <w:vertAlign w:val="superscript"/>
              </w:rPr>
              <w:t>-6</w:t>
            </w:r>
            <w:r>
              <w:rPr>
                <w:rFonts w:hint="eastAsia" w:eastAsiaTheme="minorEastAsia"/>
                <w:sz w:val="24"/>
                <w:szCs w:val="24"/>
              </w:rPr>
              <w:t>t/a。</w:t>
            </w:r>
          </w:p>
          <w:p>
            <w:pPr>
              <w:pStyle w:val="25"/>
              <w:snapToGrid w:val="0"/>
              <w:spacing w:after="0"/>
              <w:ind w:firstLine="480" w:firstLineChars="200"/>
              <w:rPr>
                <w:rFonts w:eastAsiaTheme="minorEastAsia"/>
                <w:sz w:val="24"/>
                <w:szCs w:val="24"/>
              </w:rPr>
            </w:pPr>
            <w:r>
              <w:rPr>
                <w:rFonts w:hint="eastAsia" w:eastAsiaTheme="minorEastAsia"/>
                <w:sz w:val="24"/>
                <w:szCs w:val="24"/>
              </w:rPr>
              <w:t>根据企业运营及技术人员经验，项目汽油卸油平均时间约3小时/d，则一年汽油卸油时间为1095h。柴油油卸油平均时间约0.5小时/d，则一年柴油卸油时间为182.5h。</w:t>
            </w:r>
          </w:p>
          <w:p>
            <w:pPr>
              <w:pStyle w:val="25"/>
              <w:snapToGrid w:val="0"/>
              <w:spacing w:after="0"/>
              <w:ind w:firstLine="480" w:firstLineChars="200"/>
              <w:rPr>
                <w:rFonts w:eastAsiaTheme="minorEastAsia"/>
                <w:sz w:val="24"/>
                <w:szCs w:val="24"/>
              </w:rPr>
            </w:pPr>
            <w:r>
              <w:rPr>
                <w:rFonts w:hint="eastAsia" w:eastAsiaTheme="minorEastAsia"/>
                <w:sz w:val="24"/>
                <w:szCs w:val="24"/>
              </w:rPr>
              <w:t>因此，汽油卸油排放速率为0.029kg/h，柴油卸油排放速率为2.24×10</w:t>
            </w:r>
            <w:r>
              <w:rPr>
                <w:rFonts w:hint="eastAsia" w:eastAsiaTheme="minorEastAsia"/>
                <w:sz w:val="24"/>
                <w:szCs w:val="24"/>
                <w:vertAlign w:val="superscript"/>
              </w:rPr>
              <w:t>-5</w:t>
            </w:r>
            <w:r>
              <w:rPr>
                <w:rFonts w:hint="eastAsia" w:eastAsiaTheme="minorEastAsia"/>
                <w:sz w:val="24"/>
                <w:szCs w:val="24"/>
              </w:rPr>
              <w:t>kg/h。将油罐区（含卸油区）至周边围墙面积作为无组织面源，为30*16m，面源高度按作业面高度4.5m计。</w:t>
            </w:r>
          </w:p>
          <w:p>
            <w:pPr>
              <w:pStyle w:val="25"/>
              <w:snapToGrid w:val="0"/>
              <w:spacing w:after="0"/>
              <w:ind w:firstLine="480" w:firstLineChars="200"/>
              <w:rPr>
                <w:rFonts w:eastAsiaTheme="minorEastAsia"/>
                <w:sz w:val="24"/>
                <w:szCs w:val="24"/>
              </w:rPr>
            </w:pPr>
            <w:r>
              <w:rPr>
                <w:rFonts w:hint="eastAsia" w:eastAsiaTheme="minorEastAsia"/>
                <w:sz w:val="24"/>
                <w:szCs w:val="24"/>
              </w:rPr>
              <w:t>（2）静置损失（G2小呼吸废气）</w:t>
            </w:r>
          </w:p>
          <w:p>
            <w:pPr>
              <w:pStyle w:val="25"/>
              <w:snapToGrid w:val="0"/>
              <w:spacing w:after="0"/>
              <w:ind w:firstLine="480" w:firstLineChars="200"/>
              <w:rPr>
                <w:rFonts w:eastAsiaTheme="minorEastAsia"/>
                <w:sz w:val="24"/>
                <w:szCs w:val="24"/>
              </w:rPr>
            </w:pPr>
            <w:r>
              <w:rPr>
                <w:rFonts w:hint="eastAsia" w:eastAsiaTheme="minorEastAsia"/>
                <w:sz w:val="24"/>
                <w:szCs w:val="24"/>
              </w:rPr>
              <w:t>储罐的小呼吸主要为油罐静止时，由于昼夜温差变化导致的损失叫“小呼吸”损失。“小呼吸”：成品油在固定顶罐静止储存的过程中储油罐温度昼夜有规律地变化，白天温度升高，热量使油气膨胀，压力升高，造成油气的挥发。晚间温度降低，罐内气体压力降低，为平衡蒸汽压，油气从液相中蒸发，直止油液面上的气体达到新的饱和蒸汽压，造成油气的挥发。</w:t>
            </w:r>
          </w:p>
          <w:p>
            <w:pPr>
              <w:pStyle w:val="25"/>
              <w:snapToGrid w:val="0"/>
              <w:spacing w:after="0"/>
              <w:ind w:firstLine="480" w:firstLineChars="200"/>
              <w:rPr>
                <w:rFonts w:eastAsiaTheme="minorEastAsia"/>
                <w:sz w:val="24"/>
                <w:szCs w:val="24"/>
              </w:rPr>
            </w:pPr>
            <w:r>
              <w:rPr>
                <w:rFonts w:hint="eastAsia" w:eastAsiaTheme="minorEastAsia"/>
                <w:sz w:val="24"/>
                <w:szCs w:val="24"/>
              </w:rPr>
              <w:t>上述过程昼夜交替进行，形成了称为“小呼吸”的油气排放。</w:t>
            </w:r>
          </w:p>
          <w:p>
            <w:pPr>
              <w:pStyle w:val="25"/>
              <w:snapToGrid w:val="0"/>
              <w:spacing w:after="0"/>
              <w:ind w:firstLine="480" w:firstLineChars="200"/>
              <w:rPr>
                <w:rFonts w:eastAsiaTheme="minorEastAsia"/>
                <w:sz w:val="24"/>
                <w:szCs w:val="24"/>
              </w:rPr>
            </w:pPr>
            <w:r>
              <w:rPr>
                <w:rFonts w:hint="eastAsia" w:eastAsiaTheme="minorEastAsia"/>
                <w:sz w:val="24"/>
                <w:szCs w:val="24"/>
              </w:rPr>
              <w:t>参照《上海市石化行业VOCs计算方法（试行）》附录A中P28，因为地下土层的绝缘作用使得地下储罐的昼夜温差变化较小，并且由于间断的加油工作导致储油罐液体逐渐下降，罐内整体呈负压趋势。因此本环评不考虑地下卧式罐的静置损失（小呼吸废气）。</w:t>
            </w:r>
          </w:p>
          <w:p>
            <w:pPr>
              <w:pStyle w:val="25"/>
              <w:snapToGrid w:val="0"/>
              <w:spacing w:after="0"/>
              <w:ind w:firstLine="480" w:firstLineChars="200"/>
              <w:rPr>
                <w:rFonts w:eastAsiaTheme="minorEastAsia"/>
                <w:sz w:val="24"/>
                <w:szCs w:val="24"/>
              </w:rPr>
            </w:pPr>
            <w:r>
              <w:rPr>
                <w:rFonts w:hint="eastAsia" w:eastAsiaTheme="minorEastAsia"/>
                <w:sz w:val="24"/>
                <w:szCs w:val="24"/>
              </w:rPr>
              <w:t>（3）工作损失Ⅱ（G3加油废气）</w:t>
            </w:r>
          </w:p>
          <w:p>
            <w:pPr>
              <w:pStyle w:val="25"/>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1 \* GB3</w:instrText>
            </w:r>
            <w:r>
              <w:rPr>
                <w:rFonts w:eastAsiaTheme="minorEastAsia"/>
                <w:sz w:val="24"/>
                <w:szCs w:val="24"/>
              </w:rPr>
              <w:fldChar w:fldCharType="separate"/>
            </w:r>
            <w:r>
              <w:rPr>
                <w:rFonts w:hint="eastAsia" w:eastAsiaTheme="minorEastAsia"/>
                <w:sz w:val="24"/>
                <w:szCs w:val="24"/>
              </w:rPr>
              <w:t>①</w:t>
            </w:r>
            <w:r>
              <w:rPr>
                <w:rFonts w:eastAsiaTheme="minorEastAsia"/>
                <w:sz w:val="24"/>
                <w:szCs w:val="24"/>
              </w:rPr>
              <w:fldChar w:fldCharType="end"/>
            </w:r>
            <w:r>
              <w:rPr>
                <w:rFonts w:hint="eastAsia" w:eastAsiaTheme="minorEastAsia"/>
                <w:sz w:val="24"/>
                <w:szCs w:val="24"/>
              </w:rPr>
              <w:t>废气产生情况描述</w:t>
            </w:r>
          </w:p>
          <w:p>
            <w:pPr>
              <w:pStyle w:val="25"/>
              <w:snapToGrid w:val="0"/>
              <w:spacing w:after="0"/>
              <w:ind w:firstLine="480" w:firstLineChars="200"/>
              <w:rPr>
                <w:rFonts w:eastAsiaTheme="minorEastAsia"/>
                <w:sz w:val="24"/>
                <w:szCs w:val="24"/>
              </w:rPr>
            </w:pPr>
            <w:r>
              <w:rPr>
                <w:rFonts w:hint="eastAsia" w:eastAsiaTheme="minorEastAsia"/>
                <w:sz w:val="24"/>
                <w:szCs w:val="24"/>
              </w:rPr>
              <w:t>主要指为车辆加油时，油品进入车辆油箱，油箱内的烃类气体被油品置换排入大气。</w:t>
            </w:r>
          </w:p>
          <w:p>
            <w:pPr>
              <w:pStyle w:val="25"/>
              <w:snapToGrid w:val="0"/>
              <w:spacing w:after="0"/>
              <w:ind w:firstLine="480" w:firstLineChars="200"/>
              <w:rPr>
                <w:rFonts w:eastAsiaTheme="minorEastAsia"/>
                <w:sz w:val="24"/>
                <w:szCs w:val="24"/>
              </w:rPr>
            </w:pPr>
            <w:r>
              <w:rPr>
                <w:rFonts w:eastAsiaTheme="minorEastAsia"/>
                <w:sz w:val="24"/>
                <w:szCs w:val="24"/>
              </w:rPr>
              <w:fldChar w:fldCharType="begin"/>
            </w:r>
            <w:r>
              <w:rPr>
                <w:rFonts w:hint="eastAsia" w:eastAsiaTheme="minorEastAsia"/>
                <w:sz w:val="24"/>
                <w:szCs w:val="24"/>
              </w:rPr>
              <w:instrText xml:space="preserve">= 2 \* GB3</w:instrText>
            </w:r>
            <w:r>
              <w:rPr>
                <w:rFonts w:eastAsiaTheme="minorEastAsia"/>
                <w:sz w:val="24"/>
                <w:szCs w:val="24"/>
              </w:rPr>
              <w:fldChar w:fldCharType="separate"/>
            </w:r>
            <w:r>
              <w:rPr>
                <w:rFonts w:hint="eastAsia" w:eastAsiaTheme="minorEastAsia"/>
                <w:sz w:val="24"/>
                <w:szCs w:val="24"/>
              </w:rPr>
              <w:t>②</w:t>
            </w:r>
            <w:r>
              <w:rPr>
                <w:rFonts w:eastAsiaTheme="minorEastAsia"/>
                <w:sz w:val="24"/>
                <w:szCs w:val="24"/>
              </w:rPr>
              <w:fldChar w:fldCharType="end"/>
            </w:r>
            <w:r>
              <w:rPr>
                <w:rFonts w:hint="eastAsia" w:eastAsiaTheme="minorEastAsia"/>
                <w:sz w:val="24"/>
                <w:szCs w:val="24"/>
              </w:rPr>
              <w:t>加油（二次）油气回收系统</w:t>
            </w:r>
          </w:p>
          <w:p>
            <w:pPr>
              <w:pStyle w:val="25"/>
              <w:snapToGrid w:val="0"/>
              <w:spacing w:after="0"/>
              <w:ind w:firstLine="480" w:firstLineChars="200"/>
              <w:rPr>
                <w:rFonts w:eastAsiaTheme="minorEastAsia"/>
                <w:sz w:val="24"/>
                <w:szCs w:val="24"/>
              </w:rPr>
            </w:pPr>
            <w:r>
              <w:rPr>
                <w:rFonts w:hint="eastAsia" w:eastAsiaTheme="minorEastAsia"/>
                <w:sz w:val="24"/>
                <w:szCs w:val="24"/>
              </w:rPr>
              <w:t>加油油气回收也叫二次油气回收。加油机加油时产生的油气，除了来往车辆油箱打开时溢散出的油气外，主要是加油时车油箱内的油气不断地被加入的油液体挤出油箱，造成油气在加油区域内的排放。</w:t>
            </w:r>
          </w:p>
          <w:p>
            <w:pPr>
              <w:pStyle w:val="25"/>
              <w:snapToGrid w:val="0"/>
              <w:spacing w:after="0"/>
              <w:ind w:firstLine="480" w:firstLineChars="200"/>
            </w:pPr>
            <w:r>
              <w:rPr>
                <w:rFonts w:hint="eastAsia" w:eastAsiaTheme="minorEastAsia"/>
                <w:sz w:val="24"/>
                <w:szCs w:val="24"/>
              </w:rPr>
              <w:t>加油油气回收是指在加油时，利用加油枪上的特殊装置，将油箱中的油气经加油、潜油泵、油气回收管道回收到油罐内。</w:t>
            </w:r>
            <w:r>
              <w:rPr>
                <w:rFonts w:hint="eastAsia" w:eastAsia="宋体"/>
                <w:sz w:val="24"/>
                <w:szCs w:val="24"/>
              </w:rPr>
              <w:t>加油油气回收系统示意图见图5-4，实景图见图5-5。</w:t>
            </w:r>
          </w:p>
          <w:p>
            <w:pPr>
              <w:pStyle w:val="25"/>
              <w:spacing w:line="240" w:lineRule="auto"/>
              <w:ind w:firstLine="280"/>
              <w:rPr>
                <w:rFonts w:eastAsia="宋体"/>
                <w:sz w:val="24"/>
                <w:szCs w:val="24"/>
              </w:rPr>
            </w:pPr>
            <w:r>
              <w:drawing>
                <wp:inline distT="0" distB="0" distL="0" distR="0">
                  <wp:extent cx="5448300" cy="2847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448300" cy="2847975"/>
                          </a:xfrm>
                          <a:prstGeom prst="rect">
                            <a:avLst/>
                          </a:prstGeom>
                        </pic:spPr>
                      </pic:pic>
                    </a:graphicData>
                  </a:graphic>
                </wp:inline>
              </w:drawing>
            </w:r>
          </w:p>
          <w:p>
            <w:pPr>
              <w:pStyle w:val="25"/>
              <w:spacing w:line="240" w:lineRule="auto"/>
              <w:ind w:firstLine="240"/>
              <w:jc w:val="center"/>
              <w:rPr>
                <w:rFonts w:eastAsia="宋体"/>
                <w:sz w:val="24"/>
                <w:szCs w:val="24"/>
              </w:rPr>
            </w:pPr>
            <w:r>
              <w:rPr>
                <w:rFonts w:hint="eastAsia" w:eastAsia="宋体"/>
                <w:sz w:val="24"/>
                <w:szCs w:val="24"/>
              </w:rPr>
              <w:t>图5-4 加油油气回收系统示意图</w:t>
            </w:r>
          </w:p>
          <w:p>
            <w:pPr>
              <w:pStyle w:val="25"/>
              <w:ind w:firstLine="280"/>
              <w:jc w:val="center"/>
            </w:pPr>
            <w:r>
              <w:drawing>
                <wp:inline distT="0" distB="0" distL="0" distR="0">
                  <wp:extent cx="2962275" cy="22332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2964095" cy="2234735"/>
                          </a:xfrm>
                          <a:prstGeom prst="rect">
                            <a:avLst/>
                          </a:prstGeom>
                        </pic:spPr>
                      </pic:pic>
                    </a:graphicData>
                  </a:graphic>
                </wp:inline>
              </w:drawing>
            </w:r>
          </w:p>
          <w:p>
            <w:pPr>
              <w:pStyle w:val="25"/>
              <w:ind w:firstLine="240"/>
              <w:jc w:val="center"/>
              <w:rPr>
                <w:rFonts w:eastAsia="宋体"/>
                <w:sz w:val="24"/>
                <w:szCs w:val="24"/>
              </w:rPr>
            </w:pPr>
            <w:r>
              <w:rPr>
                <w:rFonts w:hint="eastAsia" w:eastAsia="宋体"/>
                <w:sz w:val="24"/>
                <w:szCs w:val="24"/>
              </w:rPr>
              <w:t>图5-5加油（二次）油气回收系统实景</w:t>
            </w:r>
          </w:p>
          <w:p>
            <w:pPr>
              <w:tabs>
                <w:tab w:val="left" w:pos="360"/>
              </w:tabs>
              <w:snapToGrid w:val="0"/>
              <w:ind w:firstLine="480" w:firstLineChars="200"/>
              <w:rPr>
                <w:rFonts w:eastAsia="宋体"/>
                <w:sz w:val="24"/>
                <w:szCs w:val="24"/>
              </w:rPr>
            </w:pPr>
            <w:r>
              <w:rPr>
                <w:rFonts w:eastAsia="宋体"/>
                <w:sz w:val="24"/>
                <w:szCs w:val="24"/>
              </w:rPr>
              <w:fldChar w:fldCharType="begin"/>
            </w:r>
            <w:r>
              <w:rPr>
                <w:rFonts w:hint="eastAsia" w:eastAsia="宋体"/>
                <w:sz w:val="24"/>
                <w:szCs w:val="24"/>
              </w:rPr>
              <w:instrText xml:space="preserve">= 3 \* GB3</w:instrText>
            </w:r>
            <w:r>
              <w:rPr>
                <w:rFonts w:eastAsia="宋体"/>
                <w:sz w:val="24"/>
                <w:szCs w:val="24"/>
              </w:rPr>
              <w:fldChar w:fldCharType="separate"/>
            </w:r>
            <w:r>
              <w:rPr>
                <w:rFonts w:hint="eastAsia" w:eastAsia="宋体"/>
                <w:sz w:val="24"/>
                <w:szCs w:val="24"/>
              </w:rPr>
              <w:t>③</w:t>
            </w:r>
            <w:r>
              <w:rPr>
                <w:rFonts w:eastAsia="宋体"/>
                <w:sz w:val="24"/>
                <w:szCs w:val="24"/>
              </w:rPr>
              <w:fldChar w:fldCharType="end"/>
            </w:r>
            <w:r>
              <w:rPr>
                <w:rFonts w:hint="eastAsia" w:eastAsia="宋体"/>
                <w:sz w:val="24"/>
                <w:szCs w:val="24"/>
              </w:rPr>
              <w:t>产生量计算</w:t>
            </w:r>
          </w:p>
          <w:p>
            <w:pPr>
              <w:tabs>
                <w:tab w:val="left" w:pos="360"/>
              </w:tabs>
              <w:snapToGrid w:val="0"/>
              <w:ind w:firstLine="480" w:firstLineChars="200"/>
              <w:rPr>
                <w:rFonts w:eastAsia="宋体"/>
                <w:sz w:val="24"/>
                <w:szCs w:val="24"/>
              </w:rPr>
            </w:pPr>
            <w:r>
              <w:rPr>
                <w:rFonts w:hint="eastAsia" w:eastAsia="宋体"/>
                <w:sz w:val="24"/>
                <w:szCs w:val="24"/>
              </w:rPr>
              <w:t>根据《中国加油站VOC 排放污染现状及控制》（沈旻嘉，2006年8月）中所统计数据，汽油加油损耗率（无油气二级回收装置）为2.49kg/t汽油，柴油加油损耗率为0.048kg/t柴油。经计算汽油和柴油在加油过程中油气的产生量分别为24.9t/a和0.072t/a。</w:t>
            </w:r>
          </w:p>
          <w:p>
            <w:pPr>
              <w:tabs>
                <w:tab w:val="left" w:pos="360"/>
              </w:tabs>
              <w:snapToGrid w:val="0"/>
              <w:ind w:firstLine="480" w:firstLineChars="200"/>
              <w:rPr>
                <w:rFonts w:eastAsia="宋体"/>
                <w:sz w:val="24"/>
                <w:szCs w:val="24"/>
              </w:rPr>
            </w:pPr>
            <w:r>
              <w:rPr>
                <w:rFonts w:hint="eastAsia" w:eastAsia="宋体"/>
                <w:sz w:val="24"/>
                <w:szCs w:val="24"/>
              </w:rPr>
              <w:t>本项目安装二级油气回收系统，加油油气回收系统效率以95%计，则汽油油气排放量为1.245t/a。根据加油站运行经验，每日呼吸阀平均工作时间约为20h。则加油过程中油气总排放速率为0.1705kg/h。</w:t>
            </w:r>
          </w:p>
          <w:p>
            <w:pPr>
              <w:tabs>
                <w:tab w:val="left" w:pos="360"/>
              </w:tabs>
              <w:snapToGrid w:val="0"/>
              <w:ind w:firstLine="480" w:firstLineChars="200"/>
              <w:rPr>
                <w:rFonts w:eastAsia="宋体"/>
                <w:sz w:val="24"/>
                <w:szCs w:val="24"/>
              </w:rPr>
            </w:pPr>
            <w:r>
              <w:rPr>
                <w:rFonts w:hint="eastAsia" w:eastAsia="宋体"/>
                <w:sz w:val="24"/>
                <w:szCs w:val="24"/>
              </w:rPr>
              <w:t>将加油区罩棚所围合的区域作为无组织面源，为28*22m，面源高度按罩棚最低高度8m计。</w:t>
            </w:r>
          </w:p>
          <w:p>
            <w:pPr>
              <w:tabs>
                <w:tab w:val="left" w:pos="360"/>
              </w:tabs>
              <w:snapToGrid w:val="0"/>
              <w:ind w:firstLine="480" w:firstLineChars="200"/>
              <w:rPr>
                <w:rFonts w:eastAsia="宋体"/>
                <w:sz w:val="24"/>
                <w:szCs w:val="24"/>
              </w:rPr>
            </w:pPr>
            <w:r>
              <w:rPr>
                <w:rFonts w:hint="eastAsia" w:eastAsia="宋体"/>
                <w:sz w:val="24"/>
                <w:szCs w:val="24"/>
              </w:rPr>
              <w:t>综上，本项目各工段油气具体产排情况见表5-2。</w:t>
            </w:r>
          </w:p>
          <w:p>
            <w:pPr>
              <w:snapToGrid w:val="0"/>
              <w:jc w:val="center"/>
              <w:rPr>
                <w:rFonts w:eastAsia="宋体"/>
                <w:b/>
                <w:sz w:val="24"/>
                <w:szCs w:val="24"/>
              </w:rPr>
            </w:pPr>
            <w:r>
              <w:rPr>
                <w:rFonts w:eastAsia="宋体"/>
                <w:b/>
                <w:sz w:val="24"/>
                <w:szCs w:val="24"/>
              </w:rPr>
              <w:t>表5-</w:t>
            </w:r>
            <w:r>
              <w:rPr>
                <w:rFonts w:hint="eastAsia" w:eastAsia="宋体"/>
                <w:b/>
                <w:sz w:val="24"/>
                <w:szCs w:val="24"/>
              </w:rPr>
              <w:t>2</w:t>
            </w:r>
            <w:r>
              <w:rPr>
                <w:rFonts w:eastAsia="宋体"/>
                <w:b/>
                <w:sz w:val="24"/>
                <w:szCs w:val="24"/>
              </w:rPr>
              <w:t xml:space="preserve">  加油站油气</w:t>
            </w:r>
            <w:r>
              <w:rPr>
                <w:rFonts w:hint="eastAsia" w:eastAsia="宋体"/>
                <w:b/>
                <w:sz w:val="24"/>
                <w:szCs w:val="24"/>
              </w:rPr>
              <w:t>（非甲烷总烃）产排</w:t>
            </w:r>
            <w:r>
              <w:rPr>
                <w:rFonts w:eastAsia="宋体"/>
                <w:b/>
                <w:sz w:val="24"/>
                <w:szCs w:val="24"/>
              </w:rPr>
              <w:t>量一览表</w:t>
            </w:r>
          </w:p>
          <w:tbl>
            <w:tblPr>
              <w:tblStyle w:val="28"/>
              <w:tblW w:w="907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24"/>
              <w:gridCol w:w="850"/>
              <w:gridCol w:w="707"/>
              <w:gridCol w:w="567"/>
              <w:gridCol w:w="851"/>
              <w:gridCol w:w="850"/>
              <w:gridCol w:w="1422"/>
              <w:gridCol w:w="850"/>
              <w:gridCol w:w="851"/>
              <w:gridCol w:w="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产生工序</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产生系数</w:t>
                  </w:r>
                </w:p>
              </w:tc>
              <w:tc>
                <w:tcPr>
                  <w:tcW w:w="70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周转量t/a</w:t>
                  </w:r>
                </w:p>
              </w:tc>
              <w:tc>
                <w:tcPr>
                  <w:tcW w:w="567"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时间h</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产生情况</w:t>
                  </w:r>
                </w:p>
              </w:tc>
              <w:tc>
                <w:tcPr>
                  <w:tcW w:w="1422"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治理措施/效率</w:t>
                  </w:r>
                </w:p>
              </w:tc>
              <w:tc>
                <w:tcPr>
                  <w:tcW w:w="170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排放情况</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面源参数 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74" w:type="dxa"/>
                  <w:gridSpan w:val="2"/>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70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567"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产生量t/a</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产生速率kg/h</w:t>
                  </w:r>
                </w:p>
              </w:tc>
              <w:tc>
                <w:tcPr>
                  <w:tcW w:w="1422"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排放量t/a</w:t>
                  </w:r>
                </w:p>
              </w:tc>
              <w:tc>
                <w:tcPr>
                  <w:tcW w:w="851" w:type="dxa"/>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排放速率kg/h</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卸油（G1大呼吸废气）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10000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1095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6.3945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5.84</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一级油气回收/99.5%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0.032</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0.029</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color w:val="FF0000"/>
                      <w:sz w:val="18"/>
                      <w:szCs w:val="18"/>
                    </w:rPr>
                  </w:pPr>
                  <w:r>
                    <w:rPr>
                      <w:rFonts w:hint="eastAsia" w:eastAsia="宋体"/>
                      <w:sz w:val="18"/>
                      <w:szCs w:val="18"/>
                    </w:rPr>
                    <w:t>30*16*4.5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1500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182.5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4.655</w:t>
                  </w:r>
                  <w:r>
                    <w:rPr>
                      <w:rFonts w:eastAsia="宋体"/>
                      <w:sz w:val="18"/>
                      <w:szCs w:val="18"/>
                    </w:rPr>
                    <w:t>E-0</w:t>
                  </w:r>
                  <w:r>
                    <w:rPr>
                      <w:rFonts w:hint="eastAsia" w:eastAsia="宋体"/>
                      <w:sz w:val="18"/>
                      <w:szCs w:val="18"/>
                    </w:rPr>
                    <w:t>6</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2.55E-05</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4.655</w:t>
                  </w:r>
                  <w:r>
                    <w:rPr>
                      <w:rFonts w:eastAsia="宋体"/>
                      <w:sz w:val="18"/>
                      <w:szCs w:val="18"/>
                    </w:rPr>
                    <w:t>E-0</w:t>
                  </w:r>
                  <w:r>
                    <w:rPr>
                      <w:rFonts w:hint="eastAsia" w:eastAsia="宋体"/>
                      <w:sz w:val="18"/>
                      <w:szCs w:val="18"/>
                    </w:rPr>
                    <w:t>6</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2.55E-05</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储油（G2小呼吸废气）</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10000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1500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8760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加油废气G3</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汽油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2.49kg/t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10000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24.9</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3.41</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二级油气回收/95%</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1.245</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0.17</w:t>
                  </w:r>
                </w:p>
              </w:tc>
              <w:tc>
                <w:tcPr>
                  <w:tcW w:w="850"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28*22*8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柴油</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0.048kg/t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1500</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7300</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0.072</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0.0099</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无</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0.072</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0.0098</w:t>
                  </w:r>
                </w:p>
              </w:tc>
              <w:tc>
                <w:tcPr>
                  <w:tcW w:w="850"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总计</w:t>
                  </w:r>
                </w:p>
              </w:tc>
              <w:tc>
                <w:tcPr>
                  <w:tcW w:w="42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70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567"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31.37</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1422"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1.349</w:t>
                  </w:r>
                </w:p>
              </w:tc>
              <w:tc>
                <w:tcPr>
                  <w:tcW w:w="85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c>
                <w:tcPr>
                  <w:tcW w:w="850"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18"/>
                      <w:szCs w:val="18"/>
                    </w:rPr>
                  </w:pPr>
                  <w:r>
                    <w:rPr>
                      <w:rFonts w:hint="eastAsia" w:eastAsia="宋体"/>
                      <w:sz w:val="18"/>
                      <w:szCs w:val="18"/>
                    </w:rPr>
                    <w:t>/</w:t>
                  </w:r>
                </w:p>
              </w:tc>
            </w:tr>
          </w:tbl>
          <w:p>
            <w:pPr>
              <w:snapToGrid w:val="0"/>
              <w:ind w:firstLine="480" w:firstLineChars="200"/>
              <w:rPr>
                <w:rFonts w:ascii="宋体" w:hAnsi="宋体" w:eastAsia="宋体" w:cs="宋体"/>
                <w:sz w:val="24"/>
                <w:szCs w:val="24"/>
              </w:rPr>
            </w:pPr>
            <w:r>
              <w:rPr>
                <w:rFonts w:hint="eastAsia" w:ascii="宋体" w:hAnsi="宋体" w:eastAsia="宋体" w:cs="宋体"/>
                <w:sz w:val="24"/>
                <w:szCs w:val="24"/>
              </w:rPr>
              <w:t>（二）机动车尾气</w:t>
            </w:r>
          </w:p>
          <w:p>
            <w:pPr>
              <w:snapToGrid w:val="0"/>
              <w:ind w:firstLine="480" w:firstLineChars="200"/>
              <w:rPr>
                <w:rFonts w:ascii="宋体" w:hAnsi="宋体" w:eastAsia="宋体" w:cs="宋体"/>
                <w:sz w:val="24"/>
                <w:szCs w:val="24"/>
              </w:rPr>
            </w:pPr>
            <w:r>
              <w:rPr>
                <w:rFonts w:hint="eastAsia" w:ascii="宋体" w:hAnsi="宋体" w:eastAsia="宋体" w:cs="宋体"/>
                <w:sz w:val="24"/>
                <w:szCs w:val="24"/>
              </w:rPr>
              <w:t>站内汽车进出时会排放一定的尾气，尾气中含有CO、HC等污染物。汽车启动时间较短，尾气产生量小，且本项目处于空旷地带，通风状况较好，汽车尾气很快在空气中扩散，汽车排放的少量尾气对周边环境影响较小，故不进行定量计算。</w:t>
            </w:r>
          </w:p>
          <w:p>
            <w:pPr>
              <w:tabs>
                <w:tab w:val="left" w:pos="360"/>
              </w:tabs>
              <w:snapToGrid w:val="0"/>
              <w:spacing w:line="500" w:lineRule="exact"/>
              <w:ind w:firstLine="463" w:firstLineChars="192"/>
              <w:rPr>
                <w:rFonts w:eastAsia="宋体"/>
                <w:b/>
                <w:sz w:val="24"/>
                <w:szCs w:val="24"/>
              </w:rPr>
            </w:pPr>
            <w:r>
              <w:rPr>
                <w:rFonts w:eastAsia="宋体"/>
                <w:b/>
                <w:sz w:val="24"/>
                <w:szCs w:val="24"/>
              </w:rPr>
              <w:t>2、水污染物</w:t>
            </w:r>
          </w:p>
          <w:p>
            <w:pPr>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本项目正常营运期用水主要为生活用水。</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①</w:t>
            </w:r>
            <w:r>
              <w:rPr>
                <w:rFonts w:eastAsia="宋体"/>
                <w:sz w:val="24"/>
                <w:szCs w:val="24"/>
              </w:rPr>
              <w:t>顾客生活污水：根据加油站运营核算以进站加油车辆的50%作为司乘人数(按</w:t>
            </w:r>
            <w:r>
              <w:rPr>
                <w:rFonts w:hint="eastAsia" w:eastAsia="宋体"/>
                <w:sz w:val="24"/>
                <w:szCs w:val="24"/>
              </w:rPr>
              <w:t>20</w:t>
            </w:r>
            <w:r>
              <w:rPr>
                <w:rFonts w:eastAsia="宋体"/>
                <w:sz w:val="24"/>
                <w:szCs w:val="24"/>
              </w:rPr>
              <w:t>0人/天计算)，每人次用水10L(依据建筑给水排水设计规范GB 50015—2003计算），则年用水量约为73</w:t>
            </w:r>
            <w:r>
              <w:rPr>
                <w:rFonts w:hint="eastAsia" w:eastAsia="宋体"/>
                <w:sz w:val="24"/>
                <w:szCs w:val="24"/>
              </w:rPr>
              <w:t>0</w:t>
            </w:r>
            <w:r>
              <w:rPr>
                <w:rFonts w:eastAsia="宋体"/>
                <w:sz w:val="24"/>
                <w:szCs w:val="24"/>
              </w:rPr>
              <w:t>t，排水量按用水量的80%计，年排放量约584t。</w:t>
            </w:r>
          </w:p>
          <w:p>
            <w:pPr>
              <w:snapToGrid w:val="0"/>
              <w:spacing w:line="500" w:lineRule="exact"/>
              <w:ind w:firstLine="480" w:firstLineChars="200"/>
              <w:rPr>
                <w:rFonts w:eastAsia="宋体"/>
                <w:sz w:val="24"/>
                <w:szCs w:val="24"/>
              </w:rPr>
            </w:pPr>
            <w:r>
              <w:rPr>
                <w:rFonts w:hint="eastAsia" w:ascii="宋体" w:hAnsi="宋体" w:eastAsia="宋体" w:cs="宋体"/>
                <w:sz w:val="24"/>
                <w:szCs w:val="24"/>
              </w:rPr>
              <w:t>②职工</w:t>
            </w:r>
            <w:r>
              <w:rPr>
                <w:rFonts w:eastAsia="宋体"/>
                <w:sz w:val="24"/>
                <w:szCs w:val="24"/>
              </w:rPr>
              <w:t>生活污水：项目职工</w:t>
            </w:r>
            <w:r>
              <w:rPr>
                <w:rFonts w:hint="eastAsia" w:eastAsia="宋体"/>
                <w:sz w:val="24"/>
                <w:szCs w:val="24"/>
              </w:rPr>
              <w:t>定员12</w:t>
            </w:r>
            <w:r>
              <w:rPr>
                <w:rFonts w:eastAsia="宋体"/>
                <w:sz w:val="24"/>
                <w:szCs w:val="24"/>
              </w:rPr>
              <w:t>人，用水量按50L/人·天计，则建设项目年用水量约为</w:t>
            </w:r>
            <w:r>
              <w:rPr>
                <w:rFonts w:hint="eastAsia" w:eastAsia="宋体"/>
                <w:sz w:val="24"/>
                <w:szCs w:val="24"/>
              </w:rPr>
              <w:t>219</w:t>
            </w:r>
            <w:r>
              <w:rPr>
                <w:rFonts w:eastAsia="宋体"/>
                <w:sz w:val="24"/>
                <w:szCs w:val="24"/>
              </w:rPr>
              <w:t>t，排水量按用水量的80%计，生活污水年排放量约</w:t>
            </w:r>
            <w:r>
              <w:rPr>
                <w:rFonts w:hint="eastAsia" w:eastAsia="宋体"/>
                <w:sz w:val="24"/>
                <w:szCs w:val="24"/>
              </w:rPr>
              <w:t>175.2</w:t>
            </w:r>
            <w:r>
              <w:rPr>
                <w:rFonts w:eastAsia="宋体"/>
                <w:sz w:val="24"/>
                <w:szCs w:val="24"/>
              </w:rPr>
              <w:t>t；项目废水产生情况和排放情况见表5-</w:t>
            </w:r>
            <w:r>
              <w:rPr>
                <w:rFonts w:hint="eastAsia" w:eastAsia="宋体"/>
                <w:sz w:val="24"/>
                <w:szCs w:val="24"/>
              </w:rPr>
              <w:t>3</w:t>
            </w:r>
            <w:r>
              <w:rPr>
                <w:rFonts w:eastAsia="宋体"/>
                <w:sz w:val="24"/>
                <w:szCs w:val="24"/>
              </w:rPr>
              <w:t>。</w:t>
            </w:r>
          </w:p>
          <w:p>
            <w:pPr>
              <w:snapToGrid w:val="0"/>
              <w:spacing w:line="500" w:lineRule="exact"/>
              <w:ind w:right="140" w:rightChars="50"/>
              <w:jc w:val="center"/>
              <w:rPr>
                <w:rFonts w:eastAsia="宋体"/>
                <w:b/>
                <w:sz w:val="24"/>
                <w:szCs w:val="24"/>
              </w:rPr>
            </w:pPr>
            <w:r>
              <w:rPr>
                <w:rFonts w:eastAsia="宋体"/>
                <w:b/>
                <w:sz w:val="24"/>
                <w:szCs w:val="24"/>
              </w:rPr>
              <w:t>表5-</w:t>
            </w:r>
            <w:r>
              <w:rPr>
                <w:rFonts w:hint="eastAsia" w:eastAsia="宋体"/>
                <w:b/>
                <w:sz w:val="24"/>
                <w:szCs w:val="24"/>
              </w:rPr>
              <w:t>3</w:t>
            </w:r>
            <w:r>
              <w:rPr>
                <w:rFonts w:eastAsia="宋体"/>
                <w:b/>
                <w:sz w:val="24"/>
                <w:szCs w:val="24"/>
              </w:rPr>
              <w:t xml:space="preserve"> 项目废水产生和排放情况表</w:t>
            </w:r>
          </w:p>
          <w:tbl>
            <w:tblPr>
              <w:tblStyle w:val="28"/>
              <w:tblW w:w="91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276"/>
              <w:gridCol w:w="1701"/>
              <w:gridCol w:w="1275"/>
              <w:gridCol w:w="1701"/>
              <w:gridCol w:w="1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废水量(t/a)</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1276"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759.2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w:t>
                  </w:r>
                  <w:r>
                    <w:rPr>
                      <w:rFonts w:eastAsia="宋体"/>
                      <w:sz w:val="21"/>
                      <w:szCs w:val="21"/>
                    </w:rPr>
                    <w:t>OD</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r>
                    <w:rPr>
                      <w:rFonts w:hint="eastAsia" w:eastAsia="宋体"/>
                      <w:sz w:val="21"/>
                      <w:szCs w:val="21"/>
                    </w:rPr>
                    <w:t>5</w:t>
                  </w:r>
                  <w:r>
                    <w:rPr>
                      <w:rFonts w:eastAsia="宋体"/>
                      <w:sz w:val="21"/>
                      <w:szCs w:val="21"/>
                    </w:rPr>
                    <w:t>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0.266</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0.190</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150</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氨氮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总磷</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0.0023</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0.038</w:t>
                  </w:r>
                </w:p>
              </w:tc>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w:t>
                  </w:r>
                </w:p>
              </w:tc>
              <w:tc>
                <w:tcPr>
                  <w:tcW w:w="122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0.034</w:t>
                  </w:r>
                </w:p>
              </w:tc>
            </w:tr>
          </w:tbl>
          <w:p>
            <w:pPr>
              <w:snapToGrid w:val="0"/>
              <w:spacing w:line="500" w:lineRule="exact"/>
              <w:ind w:firstLine="480" w:firstLineChars="200"/>
              <w:rPr>
                <w:rFonts w:eastAsia="宋体"/>
                <w:sz w:val="24"/>
                <w:szCs w:val="24"/>
              </w:rPr>
            </w:pPr>
            <w:r>
              <w:rPr>
                <w:rFonts w:hint="eastAsia" w:eastAsia="宋体"/>
                <w:kern w:val="0"/>
                <w:sz w:val="24"/>
                <w:szCs w:val="24"/>
              </w:rPr>
              <w:t>产生的废水经化粪池处理</w:t>
            </w:r>
            <w:r>
              <w:rPr>
                <w:rFonts w:eastAsia="宋体"/>
                <w:bCs/>
                <w:kern w:val="0"/>
                <w:sz w:val="24"/>
                <w:szCs w:val="24"/>
              </w:rPr>
              <w:t>达</w:t>
            </w:r>
            <w:r>
              <w:rPr>
                <w:rFonts w:hint="eastAsia" w:eastAsia="宋体"/>
                <w:kern w:val="0"/>
                <w:sz w:val="24"/>
                <w:szCs w:val="24"/>
              </w:rPr>
              <w:t>到沭阳县城东污水处理厂接管标</w:t>
            </w:r>
            <w:r>
              <w:rPr>
                <w:rFonts w:eastAsia="宋体"/>
                <w:bCs/>
                <w:kern w:val="0"/>
                <w:sz w:val="24"/>
                <w:szCs w:val="24"/>
              </w:rPr>
              <w:t>准后，经市政污水管网排入</w:t>
            </w:r>
            <w:r>
              <w:rPr>
                <w:rFonts w:eastAsia="宋体"/>
                <w:sz w:val="24"/>
                <w:szCs w:val="24"/>
              </w:rPr>
              <w:t>沭阳县城东污水处理</w:t>
            </w:r>
            <w:r>
              <w:rPr>
                <w:rFonts w:hint="eastAsia" w:eastAsia="宋体"/>
                <w:sz w:val="24"/>
                <w:szCs w:val="24"/>
              </w:rPr>
              <w:t>厂</w:t>
            </w:r>
            <w:r>
              <w:rPr>
                <w:rFonts w:eastAsia="宋体"/>
                <w:bCs/>
                <w:kern w:val="0"/>
                <w:sz w:val="24"/>
                <w:szCs w:val="24"/>
              </w:rPr>
              <w:t>集中处理，经污水处理厂处理后的尾水达到《城镇污水处理厂污染物排放标准》（GB18918-2002）表1中一级</w:t>
            </w:r>
            <w:r>
              <w:rPr>
                <w:rFonts w:hint="eastAsia" w:eastAsia="宋体"/>
                <w:bCs/>
                <w:kern w:val="0"/>
                <w:sz w:val="24"/>
                <w:szCs w:val="24"/>
              </w:rPr>
              <w:t>A</w:t>
            </w:r>
            <w:r>
              <w:rPr>
                <w:rFonts w:eastAsia="宋体"/>
                <w:bCs/>
                <w:kern w:val="0"/>
                <w:sz w:val="24"/>
                <w:szCs w:val="24"/>
              </w:rPr>
              <w:t>标准</w:t>
            </w:r>
            <w:r>
              <w:rPr>
                <w:rFonts w:hint="eastAsia" w:eastAsia="宋体"/>
                <w:bCs/>
                <w:kern w:val="0"/>
                <w:sz w:val="24"/>
                <w:szCs w:val="24"/>
              </w:rPr>
              <w:t>后</w:t>
            </w:r>
            <w:r>
              <w:rPr>
                <w:rFonts w:eastAsia="宋体"/>
                <w:bCs/>
                <w:kern w:val="0"/>
                <w:sz w:val="24"/>
                <w:szCs w:val="24"/>
              </w:rPr>
              <w:t>排入</w:t>
            </w:r>
            <w:r>
              <w:rPr>
                <w:rFonts w:hint="eastAsia" w:eastAsia="宋体"/>
                <w:bCs/>
                <w:kern w:val="0"/>
                <w:sz w:val="24"/>
                <w:szCs w:val="24"/>
              </w:rPr>
              <w:t>沂南河</w:t>
            </w:r>
            <w:r>
              <w:rPr>
                <w:rFonts w:hint="eastAsia" w:eastAsia="宋体"/>
                <w:kern w:val="0"/>
                <w:sz w:val="24"/>
                <w:szCs w:val="24"/>
              </w:rPr>
              <w:t>。</w:t>
            </w:r>
          </w:p>
          <w:p>
            <w:pPr>
              <w:tabs>
                <w:tab w:val="left" w:pos="360"/>
              </w:tabs>
              <w:snapToGrid w:val="0"/>
              <w:spacing w:line="500" w:lineRule="exact"/>
              <w:ind w:firstLine="463" w:firstLineChars="192"/>
              <w:rPr>
                <w:rFonts w:eastAsia="宋体"/>
                <w:b/>
                <w:sz w:val="24"/>
                <w:szCs w:val="24"/>
              </w:rPr>
            </w:pPr>
            <w:r>
              <w:rPr>
                <w:rFonts w:eastAsia="宋体"/>
                <w:b/>
                <w:sz w:val="24"/>
                <w:szCs w:val="24"/>
              </w:rPr>
              <w:t>3、噪声污染源</w:t>
            </w:r>
          </w:p>
          <w:p>
            <w:pPr>
              <w:snapToGrid w:val="0"/>
              <w:spacing w:line="500" w:lineRule="exact"/>
              <w:ind w:firstLine="480" w:firstLineChars="200"/>
              <w:rPr>
                <w:rFonts w:eastAsia="宋体"/>
                <w:sz w:val="24"/>
                <w:szCs w:val="24"/>
              </w:rPr>
            </w:pPr>
            <w:r>
              <w:rPr>
                <w:rFonts w:eastAsia="宋体"/>
                <w:sz w:val="24"/>
                <w:szCs w:val="24"/>
              </w:rPr>
              <w:t>本项目在运行过程中产生噪声主要为加油机、油泵等设备噪声和进出加油站的车辆噪声，为间歇排放。噪声源强约75-8</w:t>
            </w:r>
            <w:r>
              <w:rPr>
                <w:rFonts w:hint="eastAsia" w:eastAsia="宋体"/>
                <w:sz w:val="24"/>
                <w:szCs w:val="24"/>
              </w:rPr>
              <w:t>0</w:t>
            </w:r>
            <w:r>
              <w:rPr>
                <w:rFonts w:eastAsia="宋体"/>
                <w:sz w:val="24"/>
                <w:szCs w:val="24"/>
              </w:rPr>
              <w:t>dB（A）。</w:t>
            </w:r>
          </w:p>
          <w:p>
            <w:pPr>
              <w:adjustRightInd w:val="0"/>
              <w:snapToGrid w:val="0"/>
              <w:ind w:firstLine="482" w:firstLineChars="200"/>
              <w:jc w:val="center"/>
              <w:rPr>
                <w:rFonts w:eastAsia="宋体"/>
                <w:b/>
                <w:bCs/>
                <w:sz w:val="24"/>
                <w:szCs w:val="24"/>
              </w:rPr>
            </w:pPr>
            <w:r>
              <w:rPr>
                <w:rFonts w:eastAsia="宋体"/>
                <w:b/>
                <w:bCs/>
                <w:sz w:val="24"/>
                <w:szCs w:val="24"/>
              </w:rPr>
              <w:t>表</w:t>
            </w:r>
            <w:r>
              <w:rPr>
                <w:rFonts w:hint="eastAsia" w:eastAsia="宋体"/>
                <w:b/>
                <w:bCs/>
                <w:sz w:val="24"/>
                <w:szCs w:val="24"/>
              </w:rPr>
              <w:t>5-4</w:t>
            </w:r>
            <w:r>
              <w:rPr>
                <w:rFonts w:eastAsia="宋体"/>
                <w:b/>
                <w:bCs/>
                <w:sz w:val="24"/>
                <w:szCs w:val="24"/>
              </w:rPr>
              <w:t xml:space="preserve">   本项目主要噪声</w:t>
            </w:r>
            <w:r>
              <w:rPr>
                <w:rFonts w:hint="eastAsia" w:eastAsia="宋体"/>
                <w:b/>
                <w:bCs/>
                <w:sz w:val="24"/>
                <w:szCs w:val="24"/>
              </w:rPr>
              <w:t>源及</w:t>
            </w:r>
            <w:r>
              <w:rPr>
                <w:rFonts w:eastAsia="宋体"/>
                <w:b/>
                <w:bCs/>
                <w:sz w:val="24"/>
                <w:szCs w:val="24"/>
              </w:rPr>
              <w:t>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bl>
          <w:p>
            <w:pPr>
              <w:tabs>
                <w:tab w:val="left" w:pos="360"/>
              </w:tabs>
              <w:snapToGrid w:val="0"/>
              <w:spacing w:line="500" w:lineRule="exact"/>
              <w:ind w:firstLine="463" w:firstLineChars="192"/>
              <w:rPr>
                <w:rFonts w:eastAsia="宋体"/>
                <w:b/>
                <w:sz w:val="24"/>
                <w:szCs w:val="24"/>
              </w:rPr>
            </w:pPr>
            <w:r>
              <w:rPr>
                <w:rFonts w:eastAsia="宋体"/>
                <w:b/>
                <w:sz w:val="24"/>
                <w:szCs w:val="24"/>
              </w:rPr>
              <w:t>4、固体废物</w:t>
            </w:r>
          </w:p>
          <w:p>
            <w:pPr>
              <w:snapToGrid w:val="0"/>
              <w:spacing w:line="500" w:lineRule="exact"/>
              <w:ind w:firstLine="480" w:firstLineChars="200"/>
              <w:rPr>
                <w:rFonts w:eastAsia="宋体"/>
                <w:sz w:val="24"/>
                <w:szCs w:val="24"/>
              </w:rPr>
            </w:pPr>
            <w:r>
              <w:rPr>
                <w:rFonts w:hint="eastAsia" w:eastAsia="宋体"/>
                <w:sz w:val="24"/>
                <w:szCs w:val="24"/>
              </w:rPr>
              <w:t>项目正常营运期间产生的固体废物主要为生活垃圾、手套及清罐油渣。</w:t>
            </w:r>
          </w:p>
          <w:p>
            <w:pPr>
              <w:snapToGrid w:val="0"/>
              <w:spacing w:line="500" w:lineRule="exact"/>
              <w:ind w:firstLine="480" w:firstLineChars="200"/>
              <w:rPr>
                <w:rFonts w:eastAsia="宋体"/>
                <w:sz w:val="24"/>
                <w:szCs w:val="24"/>
              </w:rPr>
            </w:pPr>
            <w:r>
              <w:rPr>
                <w:rFonts w:hint="eastAsia" w:eastAsia="宋体"/>
                <w:sz w:val="24"/>
                <w:szCs w:val="24"/>
              </w:rPr>
              <w:t>生活垃圾：</w:t>
            </w:r>
            <w:r>
              <w:rPr>
                <w:rFonts w:eastAsia="宋体"/>
                <w:sz w:val="24"/>
                <w:szCs w:val="24"/>
              </w:rPr>
              <w:t>工作人员产生的生活垃圾以0.5kg/d·人计，加油站有工作人员</w:t>
            </w:r>
            <w:r>
              <w:rPr>
                <w:rFonts w:hint="eastAsia" w:eastAsia="宋体"/>
                <w:sz w:val="24"/>
                <w:szCs w:val="24"/>
              </w:rPr>
              <w:t>12</w:t>
            </w:r>
            <w:r>
              <w:rPr>
                <w:rFonts w:eastAsia="宋体"/>
                <w:sz w:val="24"/>
                <w:szCs w:val="24"/>
              </w:rPr>
              <w:t>人，则可计算出生活垃圾的产生量</w:t>
            </w:r>
            <w:r>
              <w:rPr>
                <w:rFonts w:hint="eastAsia" w:eastAsia="宋体"/>
                <w:sz w:val="24"/>
                <w:szCs w:val="24"/>
              </w:rPr>
              <w:t>约</w:t>
            </w:r>
            <w:r>
              <w:rPr>
                <w:rFonts w:eastAsia="宋体"/>
                <w:sz w:val="24"/>
                <w:szCs w:val="24"/>
              </w:rPr>
              <w:t>为</w:t>
            </w:r>
            <w:r>
              <w:rPr>
                <w:rFonts w:hint="eastAsia" w:eastAsia="宋体"/>
                <w:sz w:val="24"/>
                <w:szCs w:val="24"/>
              </w:rPr>
              <w:t>2.19</w:t>
            </w:r>
            <w:r>
              <w:rPr>
                <w:rFonts w:eastAsia="宋体"/>
                <w:sz w:val="24"/>
                <w:szCs w:val="24"/>
              </w:rPr>
              <w:t>t/a。顾客生活垃圾按人均0.05kg/d算，每天约40</w:t>
            </w:r>
            <w:r>
              <w:rPr>
                <w:rFonts w:hint="eastAsia" w:eastAsia="宋体"/>
                <w:sz w:val="24"/>
                <w:szCs w:val="24"/>
              </w:rPr>
              <w:t>0</w:t>
            </w:r>
            <w:r>
              <w:rPr>
                <w:rFonts w:eastAsia="宋体"/>
                <w:sz w:val="24"/>
                <w:szCs w:val="24"/>
              </w:rPr>
              <w:t>人，顾客生活垃圾产生量为7</w:t>
            </w:r>
            <w:r>
              <w:rPr>
                <w:rFonts w:hint="eastAsia" w:eastAsia="宋体"/>
                <w:sz w:val="24"/>
                <w:szCs w:val="24"/>
              </w:rPr>
              <w:t>.</w:t>
            </w:r>
            <w:r>
              <w:rPr>
                <w:rFonts w:eastAsia="宋体"/>
                <w:sz w:val="24"/>
                <w:szCs w:val="24"/>
              </w:rPr>
              <w:t>3t/a。合计生活垃圾产生量为</w:t>
            </w:r>
            <w:r>
              <w:rPr>
                <w:rFonts w:hint="eastAsia" w:eastAsia="宋体"/>
                <w:sz w:val="24"/>
                <w:szCs w:val="24"/>
              </w:rPr>
              <w:t>9.49</w:t>
            </w:r>
            <w:r>
              <w:rPr>
                <w:rFonts w:eastAsia="宋体"/>
                <w:sz w:val="24"/>
                <w:szCs w:val="24"/>
              </w:rPr>
              <w:t>t/a，由环卫部门统一清运。</w:t>
            </w:r>
          </w:p>
          <w:p>
            <w:pPr>
              <w:snapToGrid w:val="0"/>
              <w:spacing w:line="500" w:lineRule="exact"/>
              <w:ind w:firstLine="480" w:firstLineChars="200"/>
              <w:rPr>
                <w:rFonts w:eastAsia="宋体"/>
                <w:sz w:val="24"/>
                <w:szCs w:val="24"/>
              </w:rPr>
            </w:pPr>
            <w:r>
              <w:rPr>
                <w:rFonts w:eastAsia="宋体"/>
                <w:sz w:val="24"/>
                <w:szCs w:val="24"/>
              </w:rPr>
              <w:t>清罐油渣</w:t>
            </w:r>
            <w:r>
              <w:rPr>
                <w:rFonts w:hint="eastAsia" w:eastAsia="宋体"/>
                <w:sz w:val="24"/>
                <w:szCs w:val="24"/>
              </w:rPr>
              <w:t>：加油站</w:t>
            </w:r>
            <w:r>
              <w:rPr>
                <w:rFonts w:eastAsia="宋体"/>
                <w:sz w:val="24"/>
                <w:szCs w:val="24"/>
              </w:rPr>
              <w:t>需对油罐进行定期清理，清罐周期为</w:t>
            </w:r>
            <w:r>
              <w:rPr>
                <w:rFonts w:hint="eastAsia" w:eastAsia="宋体"/>
                <w:sz w:val="24"/>
                <w:szCs w:val="24"/>
              </w:rPr>
              <w:t>3</w:t>
            </w:r>
            <w:r>
              <w:rPr>
                <w:rFonts w:eastAsia="宋体"/>
                <w:sz w:val="24"/>
                <w:szCs w:val="24"/>
              </w:rPr>
              <w:t>年，据《国家危险废物名录》以及《危险废物鉴别标准</w:t>
            </w:r>
            <w:r>
              <w:rPr>
                <w:rFonts w:hint="eastAsia" w:eastAsia="宋体"/>
                <w:sz w:val="24"/>
                <w:szCs w:val="24"/>
              </w:rPr>
              <w:t xml:space="preserve"> 通则</w:t>
            </w:r>
            <w:r>
              <w:rPr>
                <w:rFonts w:eastAsia="宋体"/>
                <w:sz w:val="24"/>
                <w:szCs w:val="24"/>
              </w:rPr>
              <w:t>》，清罐产生的油渣属于危险废物。单个油罐每次清除出的罐底淤积物约0.2</w:t>
            </w:r>
            <w:r>
              <w:rPr>
                <w:rFonts w:hint="eastAsia" w:eastAsia="宋体"/>
                <w:sz w:val="24"/>
                <w:szCs w:val="24"/>
              </w:rPr>
              <w:t>5</w:t>
            </w:r>
            <w:r>
              <w:rPr>
                <w:rFonts w:eastAsia="宋体"/>
                <w:sz w:val="24"/>
                <w:szCs w:val="24"/>
              </w:rPr>
              <w:t>t，本项目共</w:t>
            </w:r>
            <w:r>
              <w:rPr>
                <w:rFonts w:hint="eastAsia" w:eastAsia="宋体"/>
                <w:sz w:val="24"/>
                <w:szCs w:val="24"/>
              </w:rPr>
              <w:t>5</w:t>
            </w:r>
            <w:r>
              <w:rPr>
                <w:rFonts w:eastAsia="宋体"/>
                <w:sz w:val="24"/>
                <w:szCs w:val="24"/>
              </w:rPr>
              <w:t>个油罐，则本加油站清罐产生的油渣约为</w:t>
            </w:r>
            <w:r>
              <w:rPr>
                <w:rFonts w:hint="eastAsia" w:eastAsia="宋体"/>
                <w:sz w:val="24"/>
                <w:szCs w:val="24"/>
              </w:rPr>
              <w:t>1.25</w:t>
            </w:r>
            <w:r>
              <w:rPr>
                <w:rFonts w:eastAsia="宋体"/>
                <w:sz w:val="24"/>
                <w:szCs w:val="24"/>
              </w:rPr>
              <w:t>t/</w:t>
            </w:r>
            <w:r>
              <w:rPr>
                <w:rFonts w:hint="eastAsia" w:eastAsia="宋体"/>
                <w:sz w:val="24"/>
                <w:szCs w:val="24"/>
              </w:rPr>
              <w:t>3</w:t>
            </w:r>
            <w:r>
              <w:rPr>
                <w:rFonts w:eastAsia="宋体"/>
                <w:sz w:val="24"/>
                <w:szCs w:val="24"/>
              </w:rPr>
              <w:t>a。</w:t>
            </w:r>
            <w:r>
              <w:rPr>
                <w:rFonts w:hint="eastAsia" w:eastAsia="宋体"/>
                <w:sz w:val="24"/>
                <w:szCs w:val="24"/>
              </w:rPr>
              <w:t>油罐清洗委托有资质的专业第三方清洗单位清洗，产生的罐渣由清洗单位清洗后直接清运。因此加油站油罐清洗过程不涉及危险废物的暂存处置。</w:t>
            </w:r>
          </w:p>
          <w:p>
            <w:pPr>
              <w:snapToGrid w:val="0"/>
              <w:spacing w:line="500" w:lineRule="exact"/>
              <w:ind w:firstLine="480" w:firstLineChars="200"/>
              <w:rPr>
                <w:rFonts w:eastAsia="宋体"/>
                <w:sz w:val="24"/>
                <w:szCs w:val="24"/>
              </w:rPr>
            </w:pPr>
            <w:r>
              <w:rPr>
                <w:rFonts w:hint="eastAsia" w:eastAsia="宋体"/>
                <w:sz w:val="24"/>
                <w:szCs w:val="24"/>
              </w:rPr>
              <w:t>本项目产生的各副产物根据《固体废物鉴别标准通则》（GB34330-2017）、《国家危险废物名录（2016年）》和《危险废物鉴别标准 通则》（GB 5085.7-2019）等相关文件进行工业固体废物及危险废物的判定。</w:t>
            </w:r>
          </w:p>
          <w:p>
            <w:pPr>
              <w:snapToGrid w:val="0"/>
              <w:spacing w:line="500" w:lineRule="exact"/>
              <w:ind w:firstLine="480" w:firstLineChars="200"/>
              <w:rPr>
                <w:rFonts w:eastAsia="宋体"/>
                <w:sz w:val="24"/>
                <w:szCs w:val="24"/>
              </w:rPr>
            </w:pPr>
            <w:r>
              <w:rPr>
                <w:rFonts w:eastAsia="宋体"/>
                <w:sz w:val="24"/>
                <w:szCs w:val="24"/>
              </w:rPr>
              <w:t>建设项目固废产生情况汇总表见表5-</w:t>
            </w:r>
            <w:r>
              <w:rPr>
                <w:rFonts w:hint="eastAsia" w:eastAsia="宋体"/>
                <w:sz w:val="24"/>
                <w:szCs w:val="24"/>
              </w:rPr>
              <w:t>5</w:t>
            </w:r>
            <w:r>
              <w:rPr>
                <w:rFonts w:eastAsia="宋体"/>
                <w:sz w:val="24"/>
                <w:szCs w:val="24"/>
              </w:rPr>
              <w:t>。</w:t>
            </w:r>
          </w:p>
          <w:p>
            <w:pPr>
              <w:jc w:val="center"/>
              <w:rPr>
                <w:rFonts w:eastAsia="宋体"/>
                <w:b/>
                <w:sz w:val="24"/>
                <w:szCs w:val="24"/>
              </w:rPr>
            </w:pPr>
            <w:r>
              <w:rPr>
                <w:rFonts w:eastAsia="宋体"/>
                <w:b/>
                <w:sz w:val="24"/>
                <w:szCs w:val="24"/>
              </w:rPr>
              <w:t>表5-</w:t>
            </w:r>
            <w:r>
              <w:rPr>
                <w:rFonts w:hint="eastAsia" w:eastAsia="宋体"/>
                <w:b/>
                <w:sz w:val="24"/>
                <w:szCs w:val="24"/>
              </w:rPr>
              <w:t>5</w:t>
            </w:r>
            <w:r>
              <w:rPr>
                <w:rFonts w:eastAsia="宋体"/>
                <w:b/>
                <w:sz w:val="24"/>
                <w:szCs w:val="24"/>
              </w:rPr>
              <w:t xml:space="preserve">  建设项目固废产生情况汇总表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5"/>
              <w:gridCol w:w="991"/>
              <w:gridCol w:w="851"/>
              <w:gridCol w:w="851"/>
              <w:gridCol w:w="1134"/>
              <w:gridCol w:w="1134"/>
              <w:gridCol w:w="1134"/>
              <w:gridCol w:w="851"/>
              <w:gridCol w:w="170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9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预测产生量</w:t>
                  </w:r>
                </w:p>
              </w:tc>
              <w:tc>
                <w:tcPr>
                  <w:tcW w:w="368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种类判断*</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99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851"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副产品</w:t>
                  </w:r>
                </w:p>
              </w:tc>
              <w:tc>
                <w:tcPr>
                  <w:tcW w:w="17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判定依据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1.25t/3a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《固体废物鉴别标准通则》（GB34330-2017）</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2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员工</w:t>
                  </w:r>
                  <w:r>
                    <w:rPr>
                      <w:rFonts w:eastAsia="宋体"/>
                      <w:sz w:val="21"/>
                      <w:szCs w:val="21"/>
                    </w:rPr>
                    <w:t>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9.49</w:t>
                  </w:r>
                  <w:r>
                    <w:rPr>
                      <w:rFonts w:eastAsia="宋体"/>
                      <w:sz w:val="24"/>
                      <w:szCs w:val="24"/>
                    </w:rPr>
                    <w:t xml:space="preserve"> t/a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p>
              </w:tc>
              <w:tc>
                <w:tcPr>
                  <w:tcW w:w="1700" w:type="dxa"/>
                  <w:vMerge w:val="continue"/>
                  <w:vAlign w:val="center"/>
                </w:tcPr>
                <w:p>
                  <w:pPr>
                    <w:spacing w:line="280" w:lineRule="exact"/>
                    <w:jc w:val="center"/>
                    <w:rPr>
                      <w:rFonts w:eastAsia="宋体"/>
                      <w:sz w:val="21"/>
                      <w:szCs w:val="21"/>
                    </w:rPr>
                  </w:pPr>
                </w:p>
              </w:tc>
            </w:tr>
          </w:tbl>
          <w:p>
            <w:pPr>
              <w:tabs>
                <w:tab w:val="left" w:pos="360"/>
              </w:tabs>
              <w:snapToGrid w:val="0"/>
              <w:spacing w:line="500" w:lineRule="exact"/>
              <w:ind w:firstLine="460" w:firstLineChars="192"/>
              <w:rPr>
                <w:rFonts w:eastAsia="宋体"/>
                <w:sz w:val="24"/>
                <w:szCs w:val="24"/>
              </w:rPr>
            </w:pPr>
            <w:r>
              <w:rPr>
                <w:rFonts w:eastAsia="宋体"/>
                <w:sz w:val="24"/>
                <w:szCs w:val="24"/>
              </w:rPr>
              <w:t>项目营运期固体废物</w:t>
            </w:r>
            <w:r>
              <w:rPr>
                <w:rFonts w:hint="eastAsia" w:eastAsia="宋体"/>
                <w:sz w:val="24"/>
                <w:szCs w:val="24"/>
              </w:rPr>
              <w:t>属性</w:t>
            </w:r>
            <w:r>
              <w:rPr>
                <w:rFonts w:eastAsia="宋体"/>
                <w:sz w:val="24"/>
                <w:szCs w:val="24"/>
              </w:rPr>
              <w:t>分析结果汇总表见表5-</w:t>
            </w:r>
            <w:r>
              <w:rPr>
                <w:rFonts w:hint="eastAsia" w:eastAsia="宋体"/>
                <w:sz w:val="24"/>
                <w:szCs w:val="24"/>
              </w:rPr>
              <w:t>6</w:t>
            </w:r>
            <w:r>
              <w:rPr>
                <w:rFonts w:eastAsia="宋体"/>
                <w:sz w:val="24"/>
                <w:szCs w:val="24"/>
              </w:rPr>
              <w:t>，项目危险废物汇总情况详见表5-</w:t>
            </w:r>
            <w:r>
              <w:rPr>
                <w:rFonts w:hint="eastAsia" w:eastAsia="宋体"/>
                <w:sz w:val="24"/>
                <w:szCs w:val="24"/>
              </w:rPr>
              <w:t>7</w:t>
            </w:r>
            <w:r>
              <w:rPr>
                <w:rFonts w:eastAsia="宋体"/>
                <w:sz w:val="24"/>
                <w:szCs w:val="24"/>
              </w:rPr>
              <w:t>。</w:t>
            </w:r>
          </w:p>
          <w:p>
            <w:pPr>
              <w:ind w:firstLine="482" w:firstLineChars="200"/>
              <w:jc w:val="center"/>
              <w:rPr>
                <w:rFonts w:eastAsia="宋体"/>
                <w:b/>
                <w:sz w:val="24"/>
                <w:szCs w:val="24"/>
              </w:rPr>
            </w:pPr>
            <w:r>
              <w:rPr>
                <w:rFonts w:eastAsia="宋体"/>
                <w:b/>
                <w:sz w:val="24"/>
                <w:szCs w:val="24"/>
              </w:rPr>
              <w:t>表5-</w:t>
            </w:r>
            <w:r>
              <w:rPr>
                <w:rFonts w:hint="eastAsia" w:eastAsia="宋体"/>
                <w:b/>
                <w:sz w:val="24"/>
                <w:szCs w:val="24"/>
              </w:rPr>
              <w:t>6</w:t>
            </w:r>
            <w:r>
              <w:rPr>
                <w:rFonts w:eastAsia="宋体"/>
                <w:b/>
                <w:sz w:val="24"/>
                <w:szCs w:val="24"/>
              </w:rPr>
              <w:t xml:space="preserve">  营运期固体废物</w:t>
            </w:r>
            <w:r>
              <w:rPr>
                <w:rFonts w:hint="eastAsia" w:eastAsia="宋体"/>
                <w:b/>
                <w:sz w:val="24"/>
                <w:szCs w:val="24"/>
              </w:rPr>
              <w:t>属性</w:t>
            </w:r>
            <w:r>
              <w:rPr>
                <w:rFonts w:eastAsia="宋体"/>
                <w:b/>
                <w:sz w:val="24"/>
                <w:szCs w:val="24"/>
              </w:rPr>
              <w:t>分析结果汇总表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07"/>
              <w:gridCol w:w="911"/>
              <w:gridCol w:w="709"/>
              <w:gridCol w:w="850"/>
              <w:gridCol w:w="851"/>
              <w:gridCol w:w="1054"/>
              <w:gridCol w:w="1014"/>
              <w:gridCol w:w="737"/>
              <w:gridCol w:w="738"/>
              <w:gridCol w:w="829"/>
              <w:gridCol w:w="87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固废名称</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属性</w:t>
                  </w:r>
                  <w:r>
                    <w:rPr>
                      <w:rFonts w:hint="eastAsia"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w:t>
                  </w:r>
                  <w:r>
                    <w:rPr>
                      <w:rFonts w:hint="eastAsia" w:eastAsia="宋体"/>
                      <w:sz w:val="21"/>
                      <w:szCs w:val="21"/>
                    </w:rPr>
                    <w:t>分</w:t>
                  </w:r>
                </w:p>
              </w:tc>
              <w:tc>
                <w:tcPr>
                  <w:tcW w:w="101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危险特性鉴别方法</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废物类别</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代码</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估算产生量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危险固废</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101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《国家危险废物名录》（2016年）以及危险废物鉴别标准</w:t>
                  </w: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T，I</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900-249-08</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1.25t/3a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91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70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5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职工生活</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固态</w:t>
                  </w:r>
                </w:p>
              </w:tc>
              <w:tc>
                <w:tcPr>
                  <w:tcW w:w="105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可燃物、可堆腐物</w:t>
                  </w:r>
                </w:p>
              </w:tc>
              <w:tc>
                <w:tcPr>
                  <w:tcW w:w="101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73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73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2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87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9.49</w:t>
                  </w:r>
                  <w:r>
                    <w:rPr>
                      <w:rFonts w:eastAsia="宋体"/>
                      <w:sz w:val="24"/>
                      <w:szCs w:val="24"/>
                    </w:rPr>
                    <w:t>t/a</w:t>
                  </w:r>
                </w:p>
              </w:tc>
            </w:tr>
          </w:tbl>
          <w:p>
            <w:pPr>
              <w:spacing w:line="240" w:lineRule="auto"/>
              <w:rPr>
                <w:rFonts w:eastAsia="宋体"/>
                <w:b/>
                <w:sz w:val="24"/>
                <w:szCs w:val="24"/>
              </w:rPr>
            </w:pPr>
            <w:r>
              <w:rPr>
                <w:rFonts w:hint="eastAsia" w:eastAsia="宋体"/>
                <w:sz w:val="21"/>
                <w:szCs w:val="21"/>
              </w:rPr>
              <w:t>*注：属性指</w:t>
            </w:r>
            <w:r>
              <w:rPr>
                <w:rFonts w:eastAsia="宋体"/>
                <w:sz w:val="21"/>
                <w:szCs w:val="21"/>
              </w:rPr>
              <w:t>危险废物、一般工业固体废物或待鉴别</w:t>
            </w:r>
            <w:r>
              <w:rPr>
                <w:rFonts w:hint="eastAsia" w:eastAsia="宋体"/>
                <w:sz w:val="21"/>
                <w:szCs w:val="21"/>
              </w:rPr>
              <w:t>。</w:t>
            </w:r>
          </w:p>
          <w:p>
            <w:pPr>
              <w:spacing w:line="500" w:lineRule="exact"/>
              <w:jc w:val="center"/>
              <w:rPr>
                <w:rFonts w:eastAsia="宋体"/>
                <w:b/>
                <w:sz w:val="24"/>
                <w:szCs w:val="24"/>
              </w:rPr>
            </w:pPr>
            <w:r>
              <w:rPr>
                <w:rFonts w:eastAsia="宋体"/>
                <w:b/>
                <w:sz w:val="24"/>
                <w:szCs w:val="24"/>
              </w:rPr>
              <w:t>表5-</w:t>
            </w:r>
            <w:r>
              <w:rPr>
                <w:rFonts w:hint="eastAsia" w:eastAsia="宋体"/>
                <w:b/>
                <w:sz w:val="24"/>
                <w:szCs w:val="24"/>
              </w:rPr>
              <w:t>7</w:t>
            </w:r>
            <w:r>
              <w:rPr>
                <w:rFonts w:eastAsia="宋体"/>
                <w:b/>
                <w:sz w:val="24"/>
                <w:szCs w:val="24"/>
              </w:rPr>
              <w:t xml:space="preserve">  项目危险废物汇总表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8"/>
              <w:gridCol w:w="851"/>
              <w:gridCol w:w="1134"/>
              <w:gridCol w:w="764"/>
              <w:gridCol w:w="757"/>
              <w:gridCol w:w="542"/>
              <w:gridCol w:w="932"/>
              <w:gridCol w:w="827"/>
              <w:gridCol w:w="677"/>
              <w:gridCol w:w="662"/>
              <w:gridCol w:w="7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危险废物名称</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危险废物类别</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危险废物代码</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产生工序及装置</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形态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主要成分</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有害成分</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产废周期</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危险特性</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70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85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HW08</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w:t>
                  </w:r>
                  <w:r>
                    <w:rPr>
                      <w:rFonts w:hint="eastAsia" w:eastAsia="宋体"/>
                      <w:sz w:val="21"/>
                      <w:szCs w:val="21"/>
                    </w:rPr>
                    <w:t>0</w:t>
                  </w:r>
                  <w:r>
                    <w:rPr>
                      <w:rFonts w:eastAsia="宋体"/>
                      <w:sz w:val="21"/>
                      <w:szCs w:val="21"/>
                    </w:rPr>
                    <w:t>-2</w:t>
                  </w:r>
                  <w:r>
                    <w:rPr>
                      <w:rFonts w:hint="eastAsia" w:eastAsia="宋体"/>
                      <w:sz w:val="21"/>
                      <w:szCs w:val="21"/>
                    </w:rPr>
                    <w:t>49</w:t>
                  </w:r>
                  <w:r>
                    <w:rPr>
                      <w:rFonts w:eastAsia="宋体"/>
                      <w:sz w:val="21"/>
                      <w:szCs w:val="21"/>
                    </w:rPr>
                    <w:t>-08</w:t>
                  </w:r>
                </w:p>
              </w:tc>
              <w:tc>
                <w:tcPr>
                  <w:tcW w:w="76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1.25t/3a</w:t>
                  </w:r>
                </w:p>
              </w:tc>
              <w:tc>
                <w:tcPr>
                  <w:tcW w:w="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54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半固态</w:t>
                  </w:r>
                </w:p>
              </w:tc>
              <w:tc>
                <w:tcPr>
                  <w:tcW w:w="93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w:t>
                  </w:r>
                </w:p>
              </w:tc>
              <w:tc>
                <w:tcPr>
                  <w:tcW w:w="8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废矿物油等</w:t>
                  </w:r>
                </w:p>
              </w:tc>
              <w:tc>
                <w:tcPr>
                  <w:tcW w:w="67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3a</w:t>
                  </w:r>
                </w:p>
              </w:tc>
              <w:tc>
                <w:tcPr>
                  <w:tcW w:w="662"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T、I</w:t>
                  </w:r>
                </w:p>
              </w:tc>
              <w:tc>
                <w:tcPr>
                  <w:tcW w:w="79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有资质单位安全处置</w:t>
                  </w:r>
                </w:p>
              </w:tc>
            </w:tr>
          </w:tbl>
          <w:p>
            <w:pPr>
              <w:spacing w:line="500" w:lineRule="exact"/>
              <w:rPr>
                <w:rFonts w:eastAsia="宋体"/>
                <w:szCs w:val="28"/>
              </w:rPr>
            </w:pPr>
          </w:p>
        </w:tc>
      </w:tr>
    </w:tbl>
    <w:p>
      <w:pPr>
        <w:outlineLvl w:val="0"/>
        <w:rPr>
          <w:rFonts w:eastAsia="宋体"/>
          <w:b/>
          <w:szCs w:val="28"/>
        </w:rPr>
      </w:pPr>
      <w:r>
        <w:rPr>
          <w:rFonts w:eastAsia="宋体"/>
          <w:b/>
          <w:szCs w:val="28"/>
        </w:rPr>
        <w:t>六、项目主要污染物产生及预计排放情况</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16"/>
        <w:gridCol w:w="965"/>
        <w:gridCol w:w="855"/>
        <w:gridCol w:w="906"/>
        <w:gridCol w:w="946"/>
        <w:gridCol w:w="1138"/>
        <w:gridCol w:w="991"/>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种类</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排放源</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（编号）</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产生浓度mg/m</w:t>
            </w:r>
            <w:r>
              <w:rPr>
                <w:rFonts w:eastAsia="宋体"/>
                <w:sz w:val="21"/>
                <w:szCs w:val="21"/>
                <w:vertAlign w:val="superscript"/>
              </w:rPr>
              <w:t>3</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产生量t/a</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排放浓度mg/m</w:t>
            </w:r>
            <w:r>
              <w:rPr>
                <w:rFonts w:eastAsia="宋体"/>
                <w:sz w:val="21"/>
                <w:szCs w:val="21"/>
                <w:vertAlign w:val="superscript"/>
              </w:rPr>
              <w:t>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排放速率kg/h</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bookmarkStart w:id="9" w:name="_GoBack" w:colFirst="5" w:colLast="7"/>
            <w:r>
              <w:rPr>
                <w:rFonts w:eastAsia="宋体"/>
                <w:sz w:val="21"/>
                <w:szCs w:val="21"/>
              </w:rPr>
              <w:t>大气污染物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卸油、储罐、加油机等</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非甲烷总烃</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31.37</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color w:val="auto"/>
                <w:sz w:val="21"/>
                <w:szCs w:val="21"/>
              </w:rPr>
            </w:pPr>
            <w:r>
              <w:rPr>
                <w:rFonts w:eastAsia="宋体"/>
                <w:color w:val="auto"/>
                <w:sz w:val="21"/>
                <w:szCs w:val="21"/>
              </w:rPr>
              <w:t>-</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color w:val="auto"/>
                <w:sz w:val="21"/>
                <w:szCs w:val="21"/>
              </w:rPr>
            </w:pPr>
            <w:r>
              <w:rPr>
                <w:rFonts w:hint="eastAsia" w:eastAsia="宋体"/>
                <w:color w:val="auto"/>
                <w:sz w:val="21"/>
                <w:szCs w:val="21"/>
              </w:rPr>
              <w:t>0.2378</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color w:val="auto"/>
                <w:sz w:val="21"/>
                <w:szCs w:val="21"/>
              </w:rPr>
            </w:pPr>
            <w:r>
              <w:rPr>
                <w:rFonts w:hint="eastAsia" w:eastAsia="宋体"/>
                <w:color w:val="auto"/>
                <w:sz w:val="21"/>
                <w:szCs w:val="21"/>
              </w:rPr>
              <w:t>1.349</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p>
        </w:tc>
      </w:tr>
      <w:bookmarkEnd w:id="9"/>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车辆尾气</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CO、THC、</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NOx</w:t>
            </w:r>
          </w:p>
        </w:tc>
        <w:tc>
          <w:tcPr>
            <w:tcW w:w="1761" w:type="dxa"/>
            <w:gridSpan w:val="2"/>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3075"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少量</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无组织排入大气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水污染物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废水类型</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污染物名称</w:t>
            </w:r>
          </w:p>
        </w:tc>
        <w:tc>
          <w:tcPr>
            <w:tcW w:w="85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废水量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m</w:t>
            </w:r>
            <w:r>
              <w:rPr>
                <w:rFonts w:eastAsia="宋体"/>
                <w:sz w:val="21"/>
                <w:szCs w:val="21"/>
                <w:vertAlign w:val="superscript"/>
              </w:rPr>
              <w:t>3</w:t>
            </w:r>
            <w:r>
              <w:rPr>
                <w:rFonts w:eastAsia="宋体"/>
                <w:sz w:val="21"/>
                <w:szCs w:val="21"/>
              </w:rPr>
              <w:t>/a</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产生浓度mg/L</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排放浓度mg/L</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排放量t/a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bookmarkStart w:id="1" w:name="OLE_LINK9" w:colFirst="2" w:colLast="8"/>
            <w:bookmarkStart w:id="2" w:name="_Hlk246836469"/>
            <w:bookmarkStart w:id="3" w:name="OLE_LINK8" w:colFirst="2" w:colLast="8"/>
          </w:p>
        </w:tc>
        <w:tc>
          <w:tcPr>
            <w:tcW w:w="1016"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生活污水</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COD</w:t>
            </w:r>
          </w:p>
        </w:tc>
        <w:tc>
          <w:tcPr>
            <w:tcW w:w="855"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759.2</w:t>
            </w: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r>
              <w:rPr>
                <w:rFonts w:hint="eastAsia" w:eastAsia="宋体"/>
                <w:sz w:val="21"/>
                <w:szCs w:val="21"/>
              </w:rPr>
              <w:t>5</w:t>
            </w:r>
            <w:r>
              <w:rPr>
                <w:rFonts w:eastAsia="宋体"/>
                <w:sz w:val="21"/>
                <w:szCs w:val="21"/>
              </w:rPr>
              <w:t>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0.266</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0.228</w:t>
            </w:r>
          </w:p>
        </w:tc>
        <w:tc>
          <w:tcPr>
            <w:tcW w:w="1544" w:type="dxa"/>
            <w:vMerge w:val="restart"/>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经化粪池处理后排入沭阳县城东污水处理厂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SS</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0.190</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0.15</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0.019</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TP</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0.0023</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0.0023</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总氮</w:t>
            </w:r>
          </w:p>
        </w:tc>
        <w:tc>
          <w:tcPr>
            <w:tcW w:w="85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90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94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0.038</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0.034</w:t>
            </w:r>
          </w:p>
        </w:tc>
        <w:tc>
          <w:tcPr>
            <w:tcW w:w="1544"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r>
      <w:bookmarkEnd w:id="1"/>
      <w:bookmarkEnd w:id="2"/>
      <w:bookmarkEnd w:id="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restart"/>
            <w:tcMar>
              <w:left w:w="28" w:type="dxa"/>
              <w:right w:w="28" w:type="dxa"/>
            </w:tcMar>
            <w:textDirection w:val="tbRlV"/>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w:t>
            </w: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处理处置量</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综合利用</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量t/a</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外排量</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t/a</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1.25t/3a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1.25t/3a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委托</w:t>
            </w:r>
            <w:r>
              <w:rPr>
                <w:rFonts w:hint="eastAsia" w:eastAsia="宋体"/>
                <w:sz w:val="21"/>
                <w:szCs w:val="21"/>
              </w:rPr>
              <w:t>有资质单位</w:t>
            </w:r>
            <w:r>
              <w:rPr>
                <w:rFonts w:eastAsia="宋体"/>
                <w:sz w:val="21"/>
                <w:szCs w:val="21"/>
              </w:rPr>
              <w:t>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5" w:type="dxa"/>
            <w:vMerge w:val="continue"/>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p>
        </w:tc>
        <w:tc>
          <w:tcPr>
            <w:tcW w:w="1016"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965"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9.49</w:t>
            </w:r>
            <w:r>
              <w:rPr>
                <w:rFonts w:eastAsia="宋体"/>
                <w:sz w:val="21"/>
                <w:szCs w:val="21"/>
              </w:rPr>
              <w:t>t/a</w:t>
            </w:r>
          </w:p>
        </w:tc>
        <w:tc>
          <w:tcPr>
            <w:tcW w:w="2707" w:type="dxa"/>
            <w:gridSpan w:val="3"/>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9.49</w:t>
            </w:r>
            <w:r>
              <w:rPr>
                <w:rFonts w:eastAsia="宋体"/>
                <w:sz w:val="21"/>
                <w:szCs w:val="21"/>
              </w:rPr>
              <w:t>t/a</w:t>
            </w:r>
          </w:p>
        </w:tc>
        <w:tc>
          <w:tcPr>
            <w:tcW w:w="1138"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991"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w:t>
            </w:r>
          </w:p>
        </w:tc>
        <w:tc>
          <w:tcPr>
            <w:tcW w:w="1544" w:type="dxa"/>
            <w:tcMar>
              <w:left w:w="28" w:type="dxa"/>
              <w:right w:w="28" w:type="dxa"/>
            </w:tcMar>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交由环卫部门</w:t>
            </w:r>
            <w:r>
              <w:rPr>
                <w:rFonts w:hint="eastAsia" w:eastAsia="宋体"/>
                <w:sz w:val="21"/>
                <w:szCs w:val="21"/>
              </w:rPr>
              <w:t>定期清运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575" w:type="dxa"/>
            <w:tcMar>
              <w:left w:w="28" w:type="dxa"/>
              <w:right w:w="28" w:type="dxa"/>
            </w:tcMar>
            <w:vAlign w:val="center"/>
          </w:tcPr>
          <w:p>
            <w:pPr>
              <w:pStyle w:val="2"/>
              <w:jc w:val="center"/>
              <w:rPr>
                <w:rFonts w:eastAsia="宋体"/>
                <w:sz w:val="21"/>
                <w:szCs w:val="21"/>
              </w:rPr>
            </w:pPr>
            <w:r>
              <w:rPr>
                <w:rFonts w:eastAsia="宋体"/>
                <w:sz w:val="21"/>
                <w:szCs w:val="21"/>
              </w:rPr>
              <w:t>噪声</w:t>
            </w:r>
          </w:p>
        </w:tc>
        <w:tc>
          <w:tcPr>
            <w:tcW w:w="8361" w:type="dxa"/>
            <w:gridSpan w:val="8"/>
            <w:tcMar>
              <w:left w:w="28" w:type="dxa"/>
              <w:right w:w="28" w:type="dxa"/>
            </w:tcMar>
            <w:vAlign w:val="center"/>
          </w:tcPr>
          <w:p>
            <w:pPr>
              <w:pStyle w:val="2"/>
              <w:ind w:firstLine="420" w:firstLineChars="200"/>
              <w:rPr>
                <w:rFonts w:eastAsia="宋体"/>
                <w:sz w:val="21"/>
                <w:szCs w:val="21"/>
              </w:rPr>
            </w:pPr>
            <w:r>
              <w:rPr>
                <w:rFonts w:hint="eastAsia" w:eastAsia="宋体"/>
                <w:sz w:val="21"/>
                <w:szCs w:val="21"/>
              </w:rPr>
              <w:t>本项目投入使用后，产生的噪声源主要来自于加油机、各种泵体工作时产生的噪声以及来往车辆噪声，其噪声在60-75dB</w:t>
            </w:r>
            <w:r>
              <w:rPr>
                <w:rFonts w:eastAsia="宋体"/>
                <w:sz w:val="21"/>
                <w:szCs w:val="21"/>
              </w:rPr>
              <w:t>。经采取措施后，项目厂界噪声可以满足《工业企业厂界环境噪声排放标准》（GB12348-2008）中</w:t>
            </w:r>
            <w:r>
              <w:rPr>
                <w:rFonts w:hint="eastAsia" w:eastAsia="宋体"/>
                <w:sz w:val="21"/>
                <w:szCs w:val="21"/>
              </w:rPr>
              <w:t>2</w:t>
            </w:r>
            <w:r>
              <w:rPr>
                <w:rFonts w:eastAsia="宋体"/>
                <w:sz w:val="21"/>
                <w:szCs w:val="21"/>
              </w:rPr>
              <w:t>类标准限值，即昼间≤</w:t>
            </w:r>
            <w:r>
              <w:rPr>
                <w:rFonts w:hint="eastAsia" w:eastAsia="宋体"/>
                <w:sz w:val="21"/>
                <w:szCs w:val="21"/>
              </w:rPr>
              <w:t>60</w:t>
            </w:r>
            <w:r>
              <w:rPr>
                <w:rFonts w:eastAsia="宋体"/>
                <w:sz w:val="21"/>
                <w:szCs w:val="21"/>
              </w:rPr>
              <w:t>dB(A)、夜间≤</w:t>
            </w:r>
            <w:r>
              <w:rPr>
                <w:rFonts w:hint="eastAsia" w:eastAsia="宋体"/>
                <w:sz w:val="21"/>
                <w:szCs w:val="21"/>
              </w:rPr>
              <w:t>50</w:t>
            </w:r>
            <w:r>
              <w:rPr>
                <w:rFonts w:eastAsia="宋体"/>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37" w:hRule="atLeast"/>
          <w:jc w:val="center"/>
        </w:trPr>
        <w:tc>
          <w:tcPr>
            <w:tcW w:w="8936" w:type="dxa"/>
            <w:gridSpan w:val="9"/>
            <w:tcMar>
              <w:left w:w="28" w:type="dxa"/>
              <w:right w:w="28" w:type="dxa"/>
            </w:tcMar>
          </w:tcPr>
          <w:p>
            <w:pPr>
              <w:jc w:val="both"/>
              <w:rPr>
                <w:rFonts w:eastAsia="宋体"/>
                <w:sz w:val="21"/>
                <w:szCs w:val="21"/>
              </w:rPr>
            </w:pPr>
            <w:r>
              <w:rPr>
                <w:rFonts w:eastAsia="宋体"/>
                <w:sz w:val="21"/>
                <w:szCs w:val="21"/>
              </w:rPr>
              <w:t>主要生态影响</w:t>
            </w:r>
            <w:r>
              <w:rPr>
                <w:rFonts w:hint="eastAsia" w:eastAsia="宋体"/>
                <w:sz w:val="21"/>
                <w:szCs w:val="21"/>
              </w:rPr>
              <w:t>：</w:t>
            </w:r>
          </w:p>
          <w:p>
            <w:pPr>
              <w:pStyle w:val="2"/>
              <w:ind w:firstLine="420" w:firstLineChars="200"/>
              <w:rPr>
                <w:rFonts w:eastAsia="宋体"/>
                <w:sz w:val="21"/>
                <w:szCs w:val="21"/>
              </w:rPr>
            </w:pPr>
            <w:r>
              <w:rPr>
                <w:rFonts w:hint="eastAsia" w:eastAsia="宋体"/>
                <w:sz w:val="21"/>
                <w:szCs w:val="21"/>
              </w:rPr>
              <w:t>区域为城市建成区，周边无重点保护的野生动植物、风景名胜区、自然保护区及文化遗产等敏感目标，生态系统主要以人工绿化为主。目前，项目施工期已结束，未对周边生态环境造成影响。本项目进行了合理平面布局及绿化，营运期对周围的生态环境不会产生明显影响。</w:t>
            </w:r>
          </w:p>
          <w:p>
            <w:pPr>
              <w:spacing w:line="320" w:lineRule="exact"/>
              <w:ind w:firstLine="420" w:firstLineChars="200"/>
              <w:jc w:val="both"/>
              <w:rPr>
                <w:rFonts w:eastAsia="宋体"/>
                <w:sz w:val="21"/>
                <w:szCs w:val="21"/>
              </w:rPr>
            </w:pPr>
          </w:p>
        </w:tc>
      </w:tr>
    </w:tbl>
    <w:p>
      <w:pPr>
        <w:rPr>
          <w:rFonts w:eastAsia="宋体"/>
          <w:b/>
          <w:szCs w:val="28"/>
        </w:rPr>
        <w:sectPr>
          <w:pgSz w:w="11907" w:h="16840"/>
          <w:pgMar w:top="1418" w:right="1418" w:bottom="1418" w:left="1418" w:header="851" w:footer="992" w:gutter="0"/>
          <w:cols w:space="720" w:num="1"/>
          <w:docGrid w:linePitch="387" w:charSpace="-5735"/>
        </w:sectPr>
      </w:pPr>
    </w:p>
    <w:p>
      <w:pPr>
        <w:outlineLvl w:val="0"/>
        <w:rPr>
          <w:rFonts w:eastAsia="宋体"/>
          <w:b/>
        </w:rPr>
      </w:pPr>
      <w:r>
        <w:rPr>
          <w:rFonts w:eastAsia="宋体"/>
          <w:b/>
        </w:rPr>
        <w:t>七、环境影响分析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7" w:hRule="atLeast"/>
          <w:jc w:val="center"/>
        </w:trPr>
        <w:tc>
          <w:tcPr>
            <w:tcW w:w="9286" w:type="dxa"/>
          </w:tcPr>
          <w:p>
            <w:pPr>
              <w:widowControl w:val="0"/>
              <w:snapToGrid w:val="0"/>
              <w:jc w:val="both"/>
              <w:rPr>
                <w:rFonts w:eastAsia="宋体"/>
                <w:b/>
                <w:sz w:val="24"/>
                <w:szCs w:val="24"/>
              </w:rPr>
            </w:pPr>
            <w:r>
              <w:rPr>
                <w:rFonts w:hint="eastAsia" w:eastAsia="宋体"/>
                <w:b/>
                <w:sz w:val="24"/>
                <w:szCs w:val="24"/>
              </w:rPr>
              <w:t>7.1</w:t>
            </w:r>
            <w:r>
              <w:rPr>
                <w:rFonts w:eastAsia="宋体"/>
                <w:b/>
                <w:sz w:val="24"/>
                <w:szCs w:val="24"/>
              </w:rPr>
              <w:t>施工期环境影响分析：</w:t>
            </w:r>
          </w:p>
          <w:p>
            <w:pPr>
              <w:widowControl w:val="0"/>
              <w:snapToGrid w:val="0"/>
              <w:ind w:firstLine="480" w:firstLineChars="200"/>
              <w:jc w:val="both"/>
              <w:rPr>
                <w:rFonts w:eastAsia="宋体"/>
                <w:szCs w:val="28"/>
              </w:rPr>
            </w:pPr>
            <w:r>
              <w:rPr>
                <w:rFonts w:hint="eastAsia" w:hAnsi="宋体" w:eastAsia="宋体"/>
                <w:sz w:val="24"/>
                <w:szCs w:val="28"/>
              </w:rPr>
              <w:t>本项目已建成，无施工期影响。</w:t>
            </w:r>
          </w:p>
          <w:p>
            <w:pPr>
              <w:widowControl w:val="0"/>
              <w:snapToGrid w:val="0"/>
              <w:jc w:val="both"/>
              <w:rPr>
                <w:rFonts w:eastAsia="宋体"/>
                <w:b/>
                <w:sz w:val="24"/>
                <w:szCs w:val="24"/>
              </w:rPr>
            </w:pPr>
            <w:r>
              <w:rPr>
                <w:rFonts w:hint="eastAsia" w:eastAsia="宋体"/>
                <w:b/>
                <w:sz w:val="24"/>
                <w:szCs w:val="24"/>
              </w:rPr>
              <w:t>7.2</w:t>
            </w:r>
            <w:r>
              <w:rPr>
                <w:rFonts w:eastAsia="宋体"/>
                <w:b/>
                <w:sz w:val="24"/>
                <w:szCs w:val="24"/>
              </w:rPr>
              <w:t>营运期环境影响分析：</w:t>
            </w:r>
          </w:p>
          <w:p>
            <w:pPr>
              <w:ind w:firstLine="482" w:firstLineChars="200"/>
              <w:rPr>
                <w:rFonts w:eastAsia="宋体"/>
                <w:b/>
                <w:sz w:val="24"/>
                <w:szCs w:val="24"/>
              </w:rPr>
            </w:pPr>
            <w:r>
              <w:rPr>
                <w:rFonts w:hint="eastAsia" w:eastAsia="宋体"/>
                <w:b/>
                <w:sz w:val="24"/>
                <w:szCs w:val="24"/>
              </w:rPr>
              <w:t>7.2.1</w:t>
            </w:r>
            <w:r>
              <w:rPr>
                <w:rFonts w:eastAsia="宋体"/>
                <w:b/>
                <w:sz w:val="24"/>
                <w:szCs w:val="24"/>
              </w:rPr>
              <w:t>大气环境影响分析</w:t>
            </w:r>
          </w:p>
          <w:p>
            <w:pPr>
              <w:ind w:firstLine="480" w:firstLineChars="200"/>
              <w:rPr>
                <w:rFonts w:eastAsia="宋体"/>
                <w:sz w:val="24"/>
                <w:szCs w:val="24"/>
              </w:rPr>
            </w:pPr>
            <w:r>
              <w:rPr>
                <w:rFonts w:hint="eastAsia" w:eastAsia="宋体"/>
                <w:sz w:val="24"/>
                <w:szCs w:val="24"/>
              </w:rPr>
              <w:t>（1）大气环境影响</w:t>
            </w:r>
          </w:p>
          <w:p>
            <w:pPr>
              <w:ind w:firstLine="480" w:firstLineChars="200"/>
              <w:rPr>
                <w:rFonts w:eastAsia="宋体"/>
                <w:sz w:val="24"/>
                <w:szCs w:val="24"/>
              </w:rPr>
            </w:pPr>
            <w:r>
              <w:rPr>
                <w:rFonts w:hint="eastAsia" w:eastAsia="宋体"/>
                <w:sz w:val="24"/>
                <w:szCs w:val="24"/>
              </w:rPr>
              <w:t>按照《环境影响评价技术导则-大气环境》（HJ2.2-2018）评价工作等级划分方法，选择项目污染源正常排放的主要污染物及排放参数，采用附录A推荐模型中估算模型分别计算项目污染源的最大环境影响，再按评价工作分级判据进行分级。</w:t>
            </w:r>
          </w:p>
          <w:p>
            <w:pPr>
              <w:ind w:firstLine="480" w:firstLineChars="200"/>
              <w:rPr>
                <w:rFonts w:eastAsia="宋体"/>
                <w:sz w:val="24"/>
                <w:szCs w:val="24"/>
              </w:rPr>
            </w:pPr>
            <w:r>
              <w:rPr>
                <w:rFonts w:hint="eastAsia" w:eastAsia="宋体"/>
                <w:sz w:val="24"/>
                <w:szCs w:val="24"/>
              </w:rPr>
              <w:t>根据评价项目污染源初步调查结果，选择所有列为评价因子的污染物，分别计算项目排放主要污染物的最大地面浓度占标率Pi（第i个污染物，简称“最大浓度占标率”），及第i个污染物的地面浓度达标准限值10%时所对应的最远距离D10%。</w:t>
            </w:r>
            <w:r>
              <w:rPr>
                <w:rFonts w:eastAsia="宋体"/>
                <w:sz w:val="24"/>
                <w:szCs w:val="24"/>
              </w:rPr>
              <w:t>大气评价工作等级判定表如表7-</w:t>
            </w:r>
            <w:r>
              <w:rPr>
                <w:rFonts w:hint="eastAsia" w:eastAsia="宋体"/>
                <w:sz w:val="24"/>
                <w:szCs w:val="24"/>
              </w:rPr>
              <w:t>1</w:t>
            </w:r>
            <w:r>
              <w:rPr>
                <w:rFonts w:eastAsia="宋体"/>
                <w:sz w:val="24"/>
                <w:szCs w:val="24"/>
              </w:rPr>
              <w:t>所示。</w:t>
            </w:r>
          </w:p>
          <w:p>
            <w:pPr>
              <w:widowControl w:val="0"/>
              <w:spacing w:after="120" w:line="240" w:lineRule="auto"/>
              <w:ind w:firstLine="241" w:firstLineChars="100"/>
              <w:jc w:val="center"/>
              <w:rPr>
                <w:rFonts w:eastAsia="宋体"/>
                <w:b/>
                <w:sz w:val="24"/>
                <w:szCs w:val="24"/>
              </w:rPr>
            </w:pPr>
            <w:bookmarkStart w:id="4" w:name="_Ref413918772"/>
            <w:r>
              <w:rPr>
                <w:rFonts w:eastAsia="宋体"/>
                <w:b/>
                <w:sz w:val="24"/>
                <w:szCs w:val="24"/>
              </w:rPr>
              <w:t>表</w:t>
            </w:r>
            <w:bookmarkEnd w:id="4"/>
            <w:r>
              <w:rPr>
                <w:rFonts w:eastAsia="宋体"/>
                <w:b/>
                <w:sz w:val="24"/>
                <w:szCs w:val="24"/>
              </w:rPr>
              <w:t>7-</w:t>
            </w:r>
            <w:r>
              <w:rPr>
                <w:rFonts w:hint="eastAsia" w:eastAsia="宋体"/>
                <w:b/>
                <w:sz w:val="24"/>
                <w:szCs w:val="24"/>
              </w:rPr>
              <w:t>1</w:t>
            </w:r>
            <w:r>
              <w:rPr>
                <w:rFonts w:eastAsia="宋体"/>
                <w:b/>
                <w:sz w:val="24"/>
                <w:szCs w:val="24"/>
              </w:rPr>
              <w:t>大气环境评价工作等级判别表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63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评价工作等级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bCs/>
                      <w:sz w:val="21"/>
                      <w:szCs w:val="21"/>
                    </w:rPr>
                  </w:pPr>
                  <w:r>
                    <w:rPr>
                      <w:rFonts w:eastAsia="宋体"/>
                      <w:bCs/>
                      <w:sz w:val="21"/>
                      <w:szCs w:val="21"/>
                    </w:rPr>
                    <w:t>一级</w:t>
                  </w:r>
                </w:p>
              </w:tc>
              <w:tc>
                <w:tcPr>
                  <w:tcW w:w="3485" w:type="pct"/>
                </w:tcPr>
                <w:p>
                  <w:pPr>
                    <w:widowControl w:val="0"/>
                    <w:adjustRightInd w:val="0"/>
                    <w:snapToGrid w:val="0"/>
                    <w:spacing w:line="240" w:lineRule="auto"/>
                    <w:jc w:val="center"/>
                    <w:rPr>
                      <w:rFonts w:eastAsia="宋体"/>
                      <w:bCs/>
                      <w:sz w:val="21"/>
                      <w:szCs w:val="21"/>
                    </w:rPr>
                  </w:pPr>
                  <w:r>
                    <w:rPr>
                      <w:rFonts w:eastAsia="宋体"/>
                      <w:bCs/>
                      <w:sz w:val="21"/>
                      <w:szCs w:val="21"/>
                    </w:rPr>
                    <w:t>P</w:t>
                  </w:r>
                  <w:r>
                    <w:rPr>
                      <w:rFonts w:eastAsia="宋体"/>
                      <w:bCs/>
                      <w:sz w:val="21"/>
                      <w:szCs w:val="21"/>
                      <w:vertAlign w:val="subscript"/>
                    </w:rPr>
                    <w:t>max</w:t>
                  </w:r>
                  <w:r>
                    <w:rPr>
                      <w:rFonts w:eastAsia="宋体"/>
                      <w:bCs/>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二级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1%≤P</w:t>
                  </w:r>
                  <w:r>
                    <w:rPr>
                      <w:rFonts w:eastAsia="宋体"/>
                      <w:sz w:val="21"/>
                      <w:szCs w:val="21"/>
                      <w:vertAlign w:val="subscript"/>
                    </w:rPr>
                    <w:t>max</w:t>
                  </w:r>
                  <w:r>
                    <w:rPr>
                      <w:rFonts w:eastAsia="宋体"/>
                      <w:sz w:val="21"/>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5" w:type="pct"/>
                </w:tcPr>
                <w:p>
                  <w:pPr>
                    <w:widowControl w:val="0"/>
                    <w:adjustRightInd w:val="0"/>
                    <w:snapToGrid w:val="0"/>
                    <w:spacing w:line="240" w:lineRule="auto"/>
                    <w:jc w:val="center"/>
                    <w:rPr>
                      <w:rFonts w:eastAsia="宋体"/>
                      <w:sz w:val="21"/>
                      <w:szCs w:val="21"/>
                    </w:rPr>
                  </w:pPr>
                  <w:r>
                    <w:rPr>
                      <w:rFonts w:eastAsia="宋体"/>
                      <w:sz w:val="21"/>
                      <w:szCs w:val="21"/>
                    </w:rPr>
                    <w:t>三级</w:t>
                  </w:r>
                </w:p>
              </w:tc>
              <w:tc>
                <w:tcPr>
                  <w:tcW w:w="3485" w:type="pct"/>
                </w:tcPr>
                <w:p>
                  <w:pPr>
                    <w:widowControl w:val="0"/>
                    <w:adjustRightInd w:val="0"/>
                    <w:snapToGrid w:val="0"/>
                    <w:spacing w:line="240" w:lineRule="auto"/>
                    <w:jc w:val="center"/>
                    <w:rPr>
                      <w:rFonts w:eastAsia="宋体"/>
                      <w:sz w:val="21"/>
                      <w:szCs w:val="21"/>
                    </w:rPr>
                  </w:pPr>
                  <w:r>
                    <w:rPr>
                      <w:rFonts w:eastAsia="宋体"/>
                      <w:sz w:val="21"/>
                      <w:szCs w:val="21"/>
                    </w:rPr>
                    <w:t>P</w:t>
                  </w:r>
                  <w:r>
                    <w:rPr>
                      <w:rFonts w:eastAsia="宋体"/>
                      <w:sz w:val="21"/>
                      <w:szCs w:val="21"/>
                      <w:vertAlign w:val="subscript"/>
                    </w:rPr>
                    <w:t>max</w:t>
                  </w:r>
                  <w:r>
                    <w:rPr>
                      <w:rFonts w:eastAsia="宋体"/>
                      <w:sz w:val="21"/>
                      <w:szCs w:val="21"/>
                    </w:rPr>
                    <w:t>＜1%</w:t>
                  </w:r>
                </w:p>
              </w:tc>
            </w:tr>
          </w:tbl>
          <w:p>
            <w:pPr>
              <w:ind w:firstLine="480" w:firstLineChars="200"/>
              <w:rPr>
                <w:rFonts w:eastAsia="宋体"/>
                <w:sz w:val="24"/>
                <w:szCs w:val="24"/>
              </w:rPr>
            </w:pPr>
            <w:r>
              <w:rPr>
                <w:rFonts w:eastAsia="宋体"/>
                <w:sz w:val="24"/>
                <w:szCs w:val="24"/>
              </w:rPr>
              <w:t>通过对项目工艺流程的分析可得出，本工程废气源及污染物主要是接卸油、存储及给汽车油箱加油等过程排放的无组织非甲烷总烃</w:t>
            </w:r>
            <w:r>
              <w:rPr>
                <w:rFonts w:hint="eastAsia" w:eastAsia="宋体"/>
                <w:sz w:val="24"/>
                <w:szCs w:val="24"/>
              </w:rPr>
              <w:t>，</w:t>
            </w:r>
            <w:r>
              <w:rPr>
                <w:rFonts w:eastAsia="宋体"/>
                <w:sz w:val="24"/>
                <w:szCs w:val="24"/>
              </w:rPr>
              <w:t>评价因子和评价标准</w:t>
            </w:r>
            <w:r>
              <w:rPr>
                <w:rFonts w:hint="eastAsia" w:eastAsia="宋体"/>
                <w:sz w:val="24"/>
                <w:szCs w:val="24"/>
              </w:rPr>
              <w:t>见表7-2</w:t>
            </w:r>
            <w:r>
              <w:rPr>
                <w:rFonts w:eastAsia="宋体"/>
                <w:sz w:val="24"/>
                <w:szCs w:val="24"/>
              </w:rPr>
              <w:t>。</w:t>
            </w:r>
            <w:r>
              <w:rPr>
                <w:rFonts w:hint="eastAsia" w:eastAsia="宋体"/>
                <w:sz w:val="24"/>
                <w:szCs w:val="24"/>
              </w:rPr>
              <w:t>根据导则，采用AerScreen估算模型进行计算，估算模型参数见下表7-3。</w:t>
            </w:r>
          </w:p>
          <w:p>
            <w:pPr>
              <w:widowControl w:val="0"/>
              <w:spacing w:after="120" w:line="240" w:lineRule="auto"/>
              <w:ind w:firstLine="241" w:firstLineChars="100"/>
              <w:jc w:val="center"/>
              <w:rPr>
                <w:rFonts w:eastAsia="宋体"/>
                <w:b/>
                <w:sz w:val="24"/>
                <w:szCs w:val="24"/>
              </w:rPr>
            </w:pPr>
            <w:bookmarkStart w:id="5" w:name="_Ref488155507"/>
            <w:r>
              <w:rPr>
                <w:rFonts w:eastAsia="宋体"/>
                <w:b/>
                <w:sz w:val="24"/>
                <w:szCs w:val="24"/>
              </w:rPr>
              <w:t>表</w:t>
            </w:r>
            <w:bookmarkEnd w:id="5"/>
            <w:r>
              <w:rPr>
                <w:rFonts w:eastAsia="宋体"/>
                <w:b/>
                <w:sz w:val="24"/>
                <w:szCs w:val="24"/>
              </w:rPr>
              <w:t>7-</w:t>
            </w:r>
            <w:r>
              <w:rPr>
                <w:rFonts w:hint="eastAsia" w:eastAsia="宋体"/>
                <w:b/>
                <w:sz w:val="24"/>
                <w:szCs w:val="24"/>
              </w:rPr>
              <w:t>2</w:t>
            </w:r>
            <w:r>
              <w:rPr>
                <w:rFonts w:eastAsia="宋体"/>
                <w:b/>
                <w:sz w:val="24"/>
                <w:szCs w:val="24"/>
              </w:rPr>
              <w:t>评价因子和评价标准表</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805"/>
              <w:gridCol w:w="1702"/>
              <w:gridCol w:w="42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7"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评价因子</w:t>
                  </w:r>
                </w:p>
              </w:tc>
              <w:tc>
                <w:tcPr>
                  <w:tcW w:w="995"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平均时段</w:t>
                  </w:r>
                </w:p>
              </w:tc>
              <w:tc>
                <w:tcPr>
                  <w:tcW w:w="938"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标准值/（μg/m</w:t>
                  </w:r>
                  <w:r>
                    <w:rPr>
                      <w:rFonts w:eastAsia="宋体"/>
                      <w:sz w:val="21"/>
                      <w:szCs w:val="21"/>
                      <w:vertAlign w:val="superscript"/>
                    </w:rPr>
                    <w:t>3</w:t>
                  </w:r>
                  <w:r>
                    <w:rPr>
                      <w:rFonts w:eastAsia="宋体"/>
                      <w:sz w:val="21"/>
                      <w:szCs w:val="21"/>
                    </w:rPr>
                    <w:t>）</w:t>
                  </w:r>
                </w:p>
              </w:tc>
              <w:tc>
                <w:tcPr>
                  <w:tcW w:w="23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37"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995"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小时平均</w:t>
                  </w:r>
                </w:p>
              </w:tc>
              <w:tc>
                <w:tcPr>
                  <w:tcW w:w="938"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w:t>
                  </w:r>
                  <w:r>
                    <w:rPr>
                      <w:rFonts w:eastAsia="宋体"/>
                      <w:sz w:val="21"/>
                      <w:szCs w:val="21"/>
                    </w:rPr>
                    <w:t>00</w:t>
                  </w:r>
                </w:p>
              </w:tc>
              <w:tc>
                <w:tcPr>
                  <w:tcW w:w="2330"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《大气污染物综合排放标准详解》中第244页的说明</w:t>
                  </w:r>
                </w:p>
              </w:tc>
            </w:tr>
          </w:tbl>
          <w:p>
            <w:pPr>
              <w:widowControl w:val="0"/>
              <w:spacing w:after="120" w:line="240" w:lineRule="auto"/>
              <w:ind w:firstLine="241" w:firstLineChars="100"/>
              <w:jc w:val="center"/>
              <w:rPr>
                <w:rFonts w:eastAsia="宋体"/>
                <w:b/>
                <w:sz w:val="24"/>
                <w:szCs w:val="24"/>
              </w:rPr>
            </w:pPr>
            <w:r>
              <w:rPr>
                <w:rFonts w:eastAsia="宋体"/>
                <w:b/>
                <w:sz w:val="24"/>
                <w:szCs w:val="24"/>
              </w:rPr>
              <w:t>表7-</w:t>
            </w:r>
            <w:r>
              <w:rPr>
                <w:rFonts w:hint="eastAsia" w:eastAsia="宋体"/>
                <w:b/>
                <w:sz w:val="24"/>
                <w:szCs w:val="24"/>
              </w:rPr>
              <w:t>3</w:t>
            </w:r>
            <w:r>
              <w:rPr>
                <w:rFonts w:eastAsia="宋体"/>
                <w:b/>
                <w:sz w:val="24"/>
                <w:szCs w:val="24"/>
              </w:rPr>
              <w:t>估算模型参数表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3"/>
              <w:gridCol w:w="30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参数</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城市/农村选项</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城市/农村</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人口数（城市选项时）</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最高环境温度/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38.5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最低环境温度/</w:t>
                  </w:r>
                  <w:r>
                    <w:rPr>
                      <w:rFonts w:hint="eastAsia" w:hAnsi="宋体" w:eastAsia="宋体" w:cs="宋体"/>
                      <w:sz w:val="21"/>
                      <w:szCs w:val="21"/>
                    </w:rPr>
                    <w:t>℃</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-16.5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土地利用类型</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hint="eastAsia" w:eastAsia="宋体"/>
                      <w:sz w:val="21"/>
                      <w:szCs w:val="21"/>
                    </w:rPr>
                    <w:t>城市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046" w:type="dxa"/>
                  <w:gridSpan w:val="2"/>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区域湿度条件</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中等湿度气候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是否考虑地形</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考虑地形</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地形数据分辨率/m</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restart"/>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是否考虑岸线熏烟</w:t>
                  </w: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考虑岸线熏烟</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□是  ■否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岸线距离/km</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vMerge w:val="continue"/>
                  <w:tcBorders>
                    <w:tl2br w:val="nil"/>
                    <w:tr2bl w:val="nil"/>
                  </w:tcBorders>
                  <w:shd w:val="clear" w:color="auto" w:fill="auto"/>
                  <w:vAlign w:val="center"/>
                </w:tcPr>
                <w:p>
                  <w:pPr>
                    <w:widowControl w:val="0"/>
                    <w:snapToGrid w:val="0"/>
                    <w:spacing w:line="500" w:lineRule="exact"/>
                    <w:rPr>
                      <w:rFonts w:eastAsia="宋体"/>
                      <w:sz w:val="21"/>
                      <w:szCs w:val="21"/>
                    </w:rPr>
                  </w:pPr>
                </w:p>
              </w:tc>
              <w:tc>
                <w:tcPr>
                  <w:tcW w:w="3023"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岸线方向/°</w:t>
                  </w:r>
                </w:p>
              </w:tc>
              <w:tc>
                <w:tcPr>
                  <w:tcW w:w="3024" w:type="dxa"/>
                  <w:tcBorders>
                    <w:tl2br w:val="nil"/>
                    <w:tr2bl w:val="nil"/>
                  </w:tcBorders>
                  <w:shd w:val="clear" w:color="auto" w:fill="auto"/>
                  <w:vAlign w:val="center"/>
                </w:tcPr>
                <w:p>
                  <w:pPr>
                    <w:widowControl w:val="0"/>
                    <w:snapToGrid w:val="0"/>
                    <w:spacing w:line="240" w:lineRule="auto"/>
                    <w:rPr>
                      <w:rFonts w:eastAsia="宋体"/>
                      <w:sz w:val="21"/>
                      <w:szCs w:val="21"/>
                    </w:rPr>
                  </w:pPr>
                  <w:r>
                    <w:rPr>
                      <w:rFonts w:eastAsia="宋体"/>
                      <w:sz w:val="21"/>
                      <w:szCs w:val="21"/>
                    </w:rPr>
                    <w:t>/</w:t>
                  </w:r>
                </w:p>
              </w:tc>
            </w:tr>
          </w:tbl>
          <w:p>
            <w:pPr>
              <w:ind w:firstLine="480" w:firstLineChars="200"/>
              <w:rPr>
                <w:rFonts w:eastAsia="宋体"/>
                <w:sz w:val="24"/>
                <w:szCs w:val="24"/>
              </w:rPr>
            </w:pPr>
            <w:r>
              <w:rPr>
                <w:rFonts w:hint="eastAsia" w:eastAsia="宋体"/>
                <w:sz w:val="24"/>
                <w:szCs w:val="24"/>
              </w:rPr>
              <w:t>本加油站采用地埋式储油罐，由于该罐密闭性较好，顶部有0.8m的覆土，周围回填的沙子和细土厚度为1.0m，因此储油罐罐室内气温比较稳定，受大气环境稳定影响较小，可减少油罐小呼吸蒸发损耗，延缓油品变质。为减少加油机作业时由于跑冒滴漏造成的非甲烷总烃损失，评价要求加油站加强操作人员的业务培训和学习，严格按照行业操作规程作业，从管理和作业上最大限度地减少排污量。</w:t>
            </w:r>
            <w:r>
              <w:rPr>
                <w:rFonts w:eastAsia="宋体"/>
                <w:sz w:val="24"/>
                <w:szCs w:val="24"/>
              </w:rPr>
              <w:t>本项目</w:t>
            </w:r>
            <w:r>
              <w:rPr>
                <w:rFonts w:hint="eastAsia" w:eastAsia="宋体"/>
                <w:sz w:val="24"/>
                <w:szCs w:val="24"/>
              </w:rPr>
              <w:t>已</w:t>
            </w:r>
            <w:r>
              <w:rPr>
                <w:rFonts w:eastAsia="宋体"/>
                <w:sz w:val="24"/>
                <w:szCs w:val="24"/>
              </w:rPr>
              <w:t>设置</w:t>
            </w:r>
            <w:r>
              <w:rPr>
                <w:rFonts w:hint="eastAsia" w:eastAsia="宋体"/>
                <w:sz w:val="24"/>
                <w:szCs w:val="24"/>
              </w:rPr>
              <w:t>二级</w:t>
            </w:r>
            <w:r>
              <w:rPr>
                <w:rFonts w:eastAsia="宋体"/>
                <w:sz w:val="24"/>
                <w:szCs w:val="24"/>
              </w:rPr>
              <w:t>油气回收系统进行油气回收</w:t>
            </w:r>
            <w:r>
              <w:rPr>
                <w:rFonts w:hint="eastAsia" w:eastAsia="宋体"/>
                <w:sz w:val="24"/>
                <w:szCs w:val="24"/>
              </w:rPr>
              <w:t>。</w:t>
            </w:r>
          </w:p>
          <w:p>
            <w:pPr>
              <w:ind w:firstLine="480" w:firstLineChars="200"/>
              <w:rPr>
                <w:rFonts w:eastAsia="宋体"/>
                <w:sz w:val="24"/>
                <w:szCs w:val="24"/>
              </w:rPr>
            </w:pPr>
            <w:r>
              <w:rPr>
                <w:rFonts w:hint="eastAsia" w:eastAsia="宋体"/>
                <w:sz w:val="24"/>
                <w:szCs w:val="24"/>
              </w:rPr>
              <w:t>根据工程分析，项目建设后无组织排入大气的挥发烃类有机污染物的年排放量合计为1.349</w:t>
            </w:r>
            <w:r>
              <w:rPr>
                <w:rFonts w:eastAsia="宋体"/>
                <w:sz w:val="24"/>
                <w:szCs w:val="24"/>
              </w:rPr>
              <w:t>t/a</w:t>
            </w:r>
            <w:r>
              <w:rPr>
                <w:rFonts w:hint="eastAsia" w:eastAsia="宋体"/>
                <w:sz w:val="24"/>
                <w:szCs w:val="24"/>
              </w:rPr>
              <w:t>。</w:t>
            </w:r>
          </w:p>
          <w:p>
            <w:pPr>
              <w:ind w:firstLine="480" w:firstLineChars="200"/>
            </w:pPr>
            <w:r>
              <w:rPr>
                <w:rFonts w:hint="eastAsia" w:eastAsia="宋体"/>
                <w:sz w:val="24"/>
                <w:szCs w:val="24"/>
              </w:rPr>
              <w:t>对于大呼吸损失，本环评将油罐区（含卸油区）作为无组织面源，面源高度按作业面高度4.5m计；对于加油零售损失油气，本环评将加油区罩棚所围合的区域作为无组织面源，面源高度按罩棚最低高度6m计。根据《环境影响评价技术导则-大气环境》（HJ2.2-2018），对于项目废气排放对周围环境的影响情况，采用AerScreen估算模型进行估算预测。本项目废气源强及排放参数见表7-4，估算模型计算结果见表7-5。</w:t>
            </w:r>
          </w:p>
          <w:p>
            <w:pPr>
              <w:widowControl w:val="0"/>
              <w:spacing w:after="120" w:line="240" w:lineRule="auto"/>
              <w:ind w:firstLine="241" w:firstLineChars="100"/>
              <w:jc w:val="center"/>
              <w:rPr>
                <w:rFonts w:eastAsia="宋体"/>
                <w:b/>
                <w:sz w:val="24"/>
                <w:szCs w:val="24"/>
              </w:rPr>
            </w:pPr>
            <w:r>
              <w:rPr>
                <w:rFonts w:hint="eastAsia" w:eastAsia="宋体"/>
                <w:b/>
                <w:sz w:val="24"/>
                <w:szCs w:val="24"/>
              </w:rPr>
              <w:t>表</w:t>
            </w:r>
            <w:r>
              <w:rPr>
                <w:rFonts w:eastAsia="宋体"/>
                <w:b/>
                <w:sz w:val="24"/>
                <w:szCs w:val="24"/>
              </w:rPr>
              <w:t>7-</w:t>
            </w:r>
            <w:r>
              <w:rPr>
                <w:rFonts w:hint="eastAsia" w:eastAsia="宋体"/>
                <w:b/>
                <w:sz w:val="24"/>
                <w:szCs w:val="24"/>
              </w:rPr>
              <w:t>4大气污染物源强及排放参数</w:t>
            </w:r>
          </w:p>
          <w:tbl>
            <w:tblPr>
              <w:tblStyle w:val="28"/>
              <w:tblpPr w:leftFromText="180" w:rightFromText="180" w:vertAnchor="text" w:horzAnchor="margin" w:tblpY="4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53"/>
              <w:gridCol w:w="1620"/>
              <w:gridCol w:w="2494"/>
              <w:gridCol w:w="18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废气来源</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162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工作时长（h/a）</w:t>
                  </w:r>
                </w:p>
              </w:tc>
              <w:tc>
                <w:tcPr>
                  <w:tcW w:w="24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排放源参数（长×宽×高）</w:t>
                  </w:r>
                </w:p>
              </w:tc>
              <w:tc>
                <w:tcPr>
                  <w:tcW w:w="181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最大</w:t>
                  </w:r>
                  <w:r>
                    <w:rPr>
                      <w:rFonts w:eastAsia="宋体"/>
                      <w:sz w:val="21"/>
                      <w:szCs w:val="21"/>
                    </w:rPr>
                    <w:t>排放源强（kg/h）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卸油废气</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6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1095</w:t>
                  </w:r>
                </w:p>
              </w:tc>
              <w:tc>
                <w:tcPr>
                  <w:tcW w:w="24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30m*16m*4.5m</w:t>
                  </w:r>
                </w:p>
              </w:tc>
              <w:tc>
                <w:tcPr>
                  <w:tcW w:w="181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8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加油废气</w:t>
                  </w:r>
                </w:p>
              </w:tc>
              <w:tc>
                <w:tcPr>
                  <w:tcW w:w="1553"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62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7300</w:t>
                  </w:r>
                </w:p>
              </w:tc>
              <w:tc>
                <w:tcPr>
                  <w:tcW w:w="24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28m*22m*8m</w:t>
                  </w:r>
                </w:p>
              </w:tc>
              <w:tc>
                <w:tcPr>
                  <w:tcW w:w="181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0.1798</w:t>
                  </w:r>
                </w:p>
              </w:tc>
            </w:tr>
          </w:tbl>
          <w:p>
            <w:pPr>
              <w:widowControl w:val="0"/>
              <w:spacing w:after="120" w:line="240" w:lineRule="auto"/>
              <w:ind w:firstLine="241" w:firstLineChars="100"/>
              <w:jc w:val="center"/>
              <w:rPr>
                <w:rFonts w:eastAsia="宋体"/>
                <w:b/>
                <w:sz w:val="24"/>
                <w:szCs w:val="24"/>
              </w:rPr>
            </w:pPr>
            <w:r>
              <w:rPr>
                <w:rFonts w:hint="eastAsia" w:eastAsia="宋体"/>
                <w:b/>
                <w:sz w:val="24"/>
                <w:szCs w:val="24"/>
              </w:rPr>
              <w:t>表</w:t>
            </w:r>
            <w:r>
              <w:rPr>
                <w:rFonts w:eastAsia="宋体"/>
                <w:b/>
                <w:sz w:val="24"/>
                <w:szCs w:val="24"/>
              </w:rPr>
              <w:t>7-</w:t>
            </w:r>
            <w:r>
              <w:rPr>
                <w:rFonts w:hint="eastAsia" w:eastAsia="宋体"/>
                <w:b/>
                <w:sz w:val="24"/>
                <w:szCs w:val="24"/>
              </w:rPr>
              <w:t>5废气影响估算模型计算结果</w:t>
            </w:r>
          </w:p>
          <w:tbl>
            <w:tblPr>
              <w:tblStyle w:val="28"/>
              <w:tblpPr w:leftFromText="180" w:rightFromText="180" w:vertAnchor="text" w:horzAnchor="margin" w:tblpY="4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1276"/>
              <w:gridCol w:w="2126"/>
              <w:gridCol w:w="1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下风向距离/m</w:t>
                  </w:r>
                </w:p>
              </w:tc>
              <w:tc>
                <w:tcPr>
                  <w:tcW w:w="3402"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卸油废气</w:t>
                  </w:r>
                </w:p>
              </w:tc>
              <w:tc>
                <w:tcPr>
                  <w:tcW w:w="325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3402"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325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预测落地浓度/mg/m</w:t>
                  </w:r>
                  <w:r>
                    <w:rPr>
                      <w:rFonts w:hint="eastAsia" w:eastAsia="宋体"/>
                      <w:sz w:val="21"/>
                      <w:szCs w:val="21"/>
                      <w:vertAlign w:val="superscript"/>
                    </w:rPr>
                    <w:t>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占标率/%</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预测落地浓度/mg/m</w:t>
                  </w:r>
                  <w:r>
                    <w:rPr>
                      <w:rFonts w:hint="eastAsia" w:eastAsia="宋体"/>
                      <w:sz w:val="21"/>
                      <w:szCs w:val="21"/>
                      <w:vertAlign w:val="superscript"/>
                    </w:rPr>
                    <w:t>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8.07E-02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4.04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1.71E-01</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8.95E-02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4.48</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1.99E-01</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6.31E-02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3.16</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1.78E-01</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2.30E-02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1.15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9.25E-02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1.28E-02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0.64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5.57E-02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8.48E-03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0.42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3.81E-02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6.18E-03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0.31</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2.83E-02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4.78E-03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2.21E-02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3.85E-03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0.19</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1.79E-02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200</w:t>
                  </w:r>
                </w:p>
              </w:tc>
              <w:tc>
                <w:tcPr>
                  <w:tcW w:w="2126" w:type="dxa"/>
                  <w:vAlign w:val="center"/>
                </w:tcPr>
                <w:p>
                  <w:pPr>
                    <w:widowControl w:val="0"/>
                    <w:snapToGrid w:val="0"/>
                    <w:spacing w:line="240" w:lineRule="auto"/>
                    <w:jc w:val="center"/>
                    <w:rPr>
                      <w:rFonts w:eastAsia="宋体"/>
                      <w:sz w:val="21"/>
                      <w:szCs w:val="21"/>
                    </w:rPr>
                  </w:pPr>
                  <w:r>
                    <w:rPr>
                      <w:rFonts w:hint="eastAsia"/>
                      <w:sz w:val="21"/>
                      <w:szCs w:val="21"/>
                    </w:rPr>
                    <w:t>3.19E-03</w:t>
                  </w:r>
                </w:p>
              </w:tc>
              <w:tc>
                <w:tcPr>
                  <w:tcW w:w="1276" w:type="dxa"/>
                  <w:vAlign w:val="center"/>
                </w:tcPr>
                <w:p>
                  <w:pPr>
                    <w:widowControl w:val="0"/>
                    <w:snapToGrid w:val="0"/>
                    <w:spacing w:line="240" w:lineRule="auto"/>
                    <w:jc w:val="center"/>
                    <w:rPr>
                      <w:rFonts w:eastAsia="宋体"/>
                      <w:sz w:val="21"/>
                      <w:szCs w:val="21"/>
                    </w:rPr>
                  </w:pPr>
                  <w:r>
                    <w:rPr>
                      <w:rFonts w:hint="eastAsia"/>
                      <w:sz w:val="21"/>
                      <w:szCs w:val="21"/>
                    </w:rPr>
                    <w:t>0.16</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1.49E-02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225</w:t>
                  </w:r>
                </w:p>
              </w:tc>
              <w:tc>
                <w:tcPr>
                  <w:tcW w:w="2126" w:type="dxa"/>
                  <w:vAlign w:val="center"/>
                </w:tcPr>
                <w:p>
                  <w:pPr>
                    <w:widowControl w:val="0"/>
                    <w:snapToGrid w:val="0"/>
                    <w:spacing w:line="240" w:lineRule="auto"/>
                    <w:jc w:val="center"/>
                    <w:rPr>
                      <w:rFonts w:eastAsia="宋体"/>
                      <w:sz w:val="21"/>
                      <w:szCs w:val="21"/>
                    </w:rPr>
                  </w:pPr>
                  <w:r>
                    <w:rPr>
                      <w:rFonts w:hint="eastAsia"/>
                      <w:sz w:val="21"/>
                      <w:szCs w:val="21"/>
                    </w:rPr>
                    <w:t>2.71E-03</w:t>
                  </w:r>
                </w:p>
              </w:tc>
              <w:tc>
                <w:tcPr>
                  <w:tcW w:w="1276" w:type="dxa"/>
                  <w:vAlign w:val="center"/>
                </w:tcPr>
                <w:p>
                  <w:pPr>
                    <w:widowControl w:val="0"/>
                    <w:snapToGrid w:val="0"/>
                    <w:spacing w:line="240" w:lineRule="auto"/>
                    <w:jc w:val="center"/>
                    <w:rPr>
                      <w:rFonts w:eastAsia="宋体"/>
                      <w:sz w:val="21"/>
                      <w:szCs w:val="21"/>
                    </w:rPr>
                  </w:pPr>
                  <w:r>
                    <w:rPr>
                      <w:rFonts w:hint="eastAsia"/>
                      <w:sz w:val="21"/>
                      <w:szCs w:val="21"/>
                    </w:rPr>
                    <w:t>0.14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1.27E-02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2.34E-03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0.12</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1.10E-02</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2.05E-03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9.65E-03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1.82E-03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0.09</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8.56E-03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1.63E-03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0.08</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7.67E-03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1.47E-03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0.07</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6.93E-03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375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1.33E-03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0.07</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6.31E-03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1.22E-03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0.06</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5.78E-03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425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1.12E-03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0.06</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5.32E-03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1.04E-03</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4.92E-03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475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9.63E-04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0.05</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4.57E-03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500</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8.97E-04</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0.04</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4.26E-03</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下风向最大落地浓度及占标率</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8.95E-02</w:t>
                  </w:r>
                </w:p>
              </w:tc>
              <w:tc>
                <w:tcPr>
                  <w:tcW w:w="127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4.48</w:t>
                  </w:r>
                </w:p>
              </w:tc>
              <w:tc>
                <w:tcPr>
                  <w:tcW w:w="212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1.99E-01</w:t>
                  </w:r>
                </w:p>
              </w:tc>
              <w:tc>
                <w:tcPr>
                  <w:tcW w:w="113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D10%最远距离/m</w:t>
                  </w:r>
                </w:p>
              </w:tc>
              <w:tc>
                <w:tcPr>
                  <w:tcW w:w="3402"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c>
                <w:tcPr>
                  <w:tcW w:w="325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w:t>
                  </w:r>
                </w:p>
              </w:tc>
            </w:tr>
          </w:tbl>
          <w:p>
            <w:pPr>
              <w:ind w:firstLine="480" w:firstLineChars="200"/>
              <w:rPr>
                <w:rFonts w:eastAsia="宋体"/>
                <w:sz w:val="24"/>
                <w:szCs w:val="24"/>
              </w:rPr>
            </w:pPr>
            <w:r>
              <w:rPr>
                <w:rFonts w:hint="eastAsia" w:eastAsia="宋体"/>
                <w:sz w:val="24"/>
                <w:szCs w:val="24"/>
              </w:rPr>
              <w:t>从表7-5看出，项目下风向最大占标率为加油区无组织排放非甲烷总烃，Pmax=9.93%，小于10%。根据评价工作等级的判据，本评价的大气环境为二级评价。二级评价的大气环境影响评价范围取自厂界外延2.5km 的矩形区域。根据《环境影响评价技术导则-大气环境》（HJ2.2-2018），二级评价项目不进行进一步预测与评价，只对污染物排放量进行核算。</w:t>
            </w:r>
          </w:p>
          <w:p>
            <w:pPr>
              <w:ind w:firstLine="480" w:firstLineChars="200"/>
              <w:rPr>
                <w:rFonts w:eastAsia="宋体"/>
                <w:color w:val="auto"/>
                <w:sz w:val="24"/>
                <w:szCs w:val="24"/>
              </w:rPr>
            </w:pPr>
            <w:r>
              <w:rPr>
                <w:rFonts w:hint="eastAsia" w:eastAsia="宋体"/>
                <w:sz w:val="24"/>
                <w:szCs w:val="24"/>
              </w:rPr>
              <w:t>由估算结果可见，正常工况下，本加油站无组织源引起的最大落地浓度位于下风向15m处，最大落地浓度为0.199mg/m</w:t>
            </w:r>
            <w:r>
              <w:rPr>
                <w:rFonts w:hint="eastAsia" w:eastAsia="宋体"/>
                <w:sz w:val="24"/>
                <w:szCs w:val="24"/>
                <w:vertAlign w:val="superscript"/>
              </w:rPr>
              <w:t>3</w:t>
            </w:r>
            <w:r>
              <w:rPr>
                <w:rFonts w:hint="eastAsia" w:eastAsia="宋体"/>
                <w:sz w:val="24"/>
                <w:szCs w:val="24"/>
              </w:rPr>
              <w:t>，占标率为9.93%。项目四周场界可达环境质量标准，本项目在申报环评期间属于停业状态，</w:t>
            </w:r>
            <w:r>
              <w:rPr>
                <w:rFonts w:hint="eastAsia" w:eastAsia="宋体"/>
                <w:bCs/>
                <w:sz w:val="24"/>
                <w:szCs w:val="24"/>
              </w:rPr>
              <w:t>参考类似加油站项目的验收检测数据（《中国石化销售股份有限公</w:t>
            </w:r>
            <w:r>
              <w:rPr>
                <w:rFonts w:hint="eastAsia" w:eastAsia="宋体"/>
                <w:bCs/>
                <w:color w:val="auto"/>
                <w:sz w:val="24"/>
                <w:szCs w:val="24"/>
              </w:rPr>
              <w:t>司泗阳泗水大道加油站项目》验收检测报告），厂界非甲烷总烃浓度最大值为0.97mg/m</w:t>
            </w:r>
            <w:r>
              <w:rPr>
                <w:rFonts w:hint="eastAsia" w:eastAsia="宋体"/>
                <w:bCs/>
                <w:color w:val="auto"/>
                <w:sz w:val="24"/>
                <w:szCs w:val="24"/>
                <w:vertAlign w:val="superscript"/>
              </w:rPr>
              <w:t>3</w:t>
            </w:r>
            <w:r>
              <w:rPr>
                <w:rFonts w:hint="eastAsia" w:eastAsia="宋体"/>
                <w:bCs/>
                <w:color w:val="auto"/>
                <w:sz w:val="24"/>
                <w:szCs w:val="24"/>
              </w:rPr>
              <w:t>，厂界非甲烷总烃浓度可满足</w:t>
            </w:r>
            <w:r>
              <w:rPr>
                <w:rFonts w:hint="eastAsia" w:eastAsia="宋体"/>
                <w:color w:val="auto"/>
                <w:sz w:val="24"/>
                <w:szCs w:val="24"/>
              </w:rPr>
              <w:t>《大气污染物综合排放标准》（GB16297-1996）表2中标准。综合估算结果及同类项目验收检测结果，本项目</w:t>
            </w:r>
            <w:r>
              <w:rPr>
                <w:rFonts w:eastAsia="宋体"/>
                <w:color w:val="auto"/>
                <w:sz w:val="24"/>
                <w:szCs w:val="24"/>
              </w:rPr>
              <w:t>对周围大气环境影响较小</w:t>
            </w:r>
            <w:r>
              <w:rPr>
                <w:rFonts w:hint="eastAsia" w:eastAsia="宋体"/>
                <w:color w:val="auto"/>
                <w:sz w:val="24"/>
                <w:szCs w:val="24"/>
              </w:rPr>
              <w:t>，项目无需设置大气环境防护距离。</w:t>
            </w:r>
          </w:p>
          <w:p>
            <w:pPr>
              <w:ind w:firstLine="480" w:firstLineChars="200"/>
              <w:rPr>
                <w:rFonts w:eastAsia="宋体"/>
                <w:color w:val="auto"/>
                <w:sz w:val="24"/>
                <w:szCs w:val="24"/>
              </w:rPr>
            </w:pPr>
            <w:r>
              <w:rPr>
                <w:rFonts w:hint="eastAsia" w:eastAsia="宋体"/>
                <w:color w:val="auto"/>
                <w:sz w:val="24"/>
                <w:szCs w:val="24"/>
              </w:rPr>
              <w:t>本项目汽、柴油采用密闭罐车进行输送；储存采用密闭性较好的地埋式储油罐；卸油、加油过程采用一级、二级油气回收系统；建立含VOCs物料（汽油、柴油）管理台账，记录名称、使用量等信息，台账保存期限不少于3年；检维修和清洗时，应将残存物料退净，并用密闭容器盛装；加强操作人员的业务培训和学习，严格按照行业操作规程作业，避免跑冒滴漏现象。</w:t>
            </w:r>
          </w:p>
          <w:p>
            <w:pPr>
              <w:ind w:firstLine="480" w:firstLineChars="200"/>
              <w:rPr>
                <w:rFonts w:eastAsia="宋体"/>
                <w:sz w:val="24"/>
                <w:szCs w:val="24"/>
              </w:rPr>
            </w:pPr>
            <w:r>
              <w:rPr>
                <w:rFonts w:eastAsia="宋体"/>
                <w:color w:val="auto"/>
                <w:sz w:val="24"/>
                <w:szCs w:val="24"/>
              </w:rPr>
              <w:t>因此经</w:t>
            </w:r>
            <w:r>
              <w:rPr>
                <w:rFonts w:hint="eastAsia" w:eastAsia="宋体"/>
                <w:color w:val="auto"/>
                <w:sz w:val="24"/>
                <w:szCs w:val="24"/>
              </w:rPr>
              <w:t>采取本环评所述控制措施</w:t>
            </w:r>
            <w:r>
              <w:rPr>
                <w:rFonts w:eastAsia="宋体"/>
                <w:color w:val="auto"/>
                <w:sz w:val="24"/>
                <w:szCs w:val="24"/>
              </w:rPr>
              <w:t>后，</w:t>
            </w:r>
            <w:r>
              <w:rPr>
                <w:rFonts w:hint="eastAsia" w:eastAsia="宋体"/>
                <w:color w:val="auto"/>
                <w:sz w:val="24"/>
                <w:szCs w:val="24"/>
              </w:rPr>
              <w:t>综合估算结果及同类项目验收检测结果，</w:t>
            </w:r>
            <w:r>
              <w:rPr>
                <w:rFonts w:eastAsia="宋体"/>
                <w:color w:val="auto"/>
                <w:sz w:val="24"/>
                <w:szCs w:val="24"/>
              </w:rPr>
              <w:t>本</w:t>
            </w:r>
            <w:r>
              <w:rPr>
                <w:rFonts w:eastAsia="宋体"/>
                <w:sz w:val="24"/>
                <w:szCs w:val="24"/>
              </w:rPr>
              <w:t>项目</w:t>
            </w:r>
            <w:r>
              <w:rPr>
                <w:rFonts w:hint="eastAsia" w:eastAsia="宋体"/>
                <w:sz w:val="24"/>
                <w:szCs w:val="24"/>
              </w:rPr>
              <w:t>无</w:t>
            </w:r>
            <w:r>
              <w:rPr>
                <w:rFonts w:eastAsia="宋体"/>
                <w:sz w:val="24"/>
                <w:szCs w:val="24"/>
              </w:rPr>
              <w:t>组织排放的</w:t>
            </w:r>
            <w:r>
              <w:rPr>
                <w:rFonts w:hint="eastAsia" w:eastAsia="宋体"/>
                <w:sz w:val="24"/>
                <w:szCs w:val="24"/>
              </w:rPr>
              <w:t>非甲烷总烃在厂界</w:t>
            </w:r>
            <w:r>
              <w:rPr>
                <w:rFonts w:eastAsia="宋体"/>
                <w:sz w:val="24"/>
                <w:szCs w:val="24"/>
              </w:rPr>
              <w:t>浓度</w:t>
            </w:r>
            <w:r>
              <w:rPr>
                <w:rFonts w:hint="eastAsia" w:eastAsia="宋体"/>
                <w:sz w:val="24"/>
                <w:szCs w:val="24"/>
              </w:rPr>
              <w:t>可</w:t>
            </w:r>
            <w:r>
              <w:rPr>
                <w:rFonts w:eastAsia="宋体"/>
                <w:sz w:val="24"/>
                <w:szCs w:val="24"/>
              </w:rPr>
              <w:t>满足</w:t>
            </w:r>
            <w:r>
              <w:rPr>
                <w:rFonts w:hint="eastAsia" w:eastAsia="宋体"/>
                <w:sz w:val="24"/>
                <w:szCs w:val="24"/>
              </w:rPr>
              <w:t>《大气污染物综合排放标准》（GB16297-1996）表2无组织排放监控浓度限值要求</w:t>
            </w:r>
            <w:r>
              <w:rPr>
                <w:rFonts w:eastAsia="宋体"/>
                <w:sz w:val="24"/>
                <w:szCs w:val="24"/>
              </w:rPr>
              <w:t>，废气可达标排放，废气污染防治措施可行，对周围大气环境影响较小。</w:t>
            </w:r>
          </w:p>
          <w:p>
            <w:pPr>
              <w:ind w:firstLine="480" w:firstLineChars="200"/>
              <w:rPr>
                <w:rFonts w:eastAsia="宋体"/>
                <w:sz w:val="24"/>
                <w:szCs w:val="24"/>
              </w:rPr>
            </w:pPr>
            <w:r>
              <w:rPr>
                <w:rFonts w:hint="eastAsia" w:eastAsia="宋体"/>
                <w:sz w:val="24"/>
                <w:szCs w:val="24"/>
              </w:rPr>
              <w:t>（2）机动车尾气环境影响</w:t>
            </w:r>
          </w:p>
          <w:p>
            <w:pPr>
              <w:ind w:firstLine="480" w:firstLineChars="200"/>
              <w:rPr>
                <w:rFonts w:eastAsia="宋体"/>
                <w:sz w:val="24"/>
                <w:szCs w:val="24"/>
              </w:rPr>
            </w:pPr>
            <w:r>
              <w:rPr>
                <w:rFonts w:hint="eastAsia" w:eastAsia="宋体"/>
                <w:sz w:val="24"/>
                <w:szCs w:val="24"/>
              </w:rPr>
              <w:t>项目营运期加油车辆进出时将产生少量的汽车尾气，主要污染物为THC、NOx 和CO。由于进出加油站的车辆行驶路程短，速度慢，因此尾气排放量较少，汽车尾气为间歇无组织排放。项目周围设置一定的绿化带，通过空气自然流通扩散及绿化吸收净化的作用，项目内产生的机动车尾气，很快就能被稀释扩散，对周围环境影响较小。</w:t>
            </w:r>
          </w:p>
          <w:p>
            <w:pPr>
              <w:ind w:firstLine="480" w:firstLineChars="200"/>
              <w:rPr>
                <w:rFonts w:eastAsia="宋体"/>
                <w:sz w:val="24"/>
                <w:szCs w:val="24"/>
              </w:rPr>
            </w:pPr>
            <w:r>
              <w:rPr>
                <w:rFonts w:hint="eastAsia" w:eastAsia="宋体"/>
                <w:sz w:val="24"/>
                <w:szCs w:val="24"/>
              </w:rPr>
              <w:t>（3）污染物排放量核算</w:t>
            </w:r>
          </w:p>
          <w:p>
            <w:pPr>
              <w:ind w:firstLine="480" w:firstLineChars="200"/>
              <w:rPr>
                <w:rFonts w:eastAsia="宋体"/>
                <w:sz w:val="24"/>
                <w:szCs w:val="24"/>
              </w:rPr>
            </w:pPr>
            <w:r>
              <w:rPr>
                <w:rFonts w:hint="eastAsia" w:eastAsia="宋体"/>
                <w:sz w:val="24"/>
                <w:szCs w:val="24"/>
              </w:rPr>
              <w:t>本项目没有有组织排放口，因此仅进行大气污染物无组织排放量核算，无组织排放量核算情况见表7-6，大气污染物年排放量核算情况见表7-7。</w:t>
            </w:r>
          </w:p>
          <w:p>
            <w:pPr>
              <w:widowControl w:val="0"/>
              <w:spacing w:after="120" w:line="240" w:lineRule="auto"/>
              <w:ind w:firstLine="241" w:firstLineChars="100"/>
              <w:jc w:val="center"/>
              <w:rPr>
                <w:rFonts w:eastAsia="宋体"/>
                <w:b/>
                <w:sz w:val="24"/>
                <w:szCs w:val="24"/>
              </w:rPr>
            </w:pPr>
            <w:r>
              <w:rPr>
                <w:rFonts w:eastAsia="宋体"/>
                <w:b/>
                <w:sz w:val="24"/>
                <w:szCs w:val="24"/>
              </w:rPr>
              <w:t>表7-</w:t>
            </w:r>
            <w:r>
              <w:rPr>
                <w:rFonts w:hint="eastAsia" w:eastAsia="宋体"/>
                <w:b/>
                <w:sz w:val="24"/>
                <w:szCs w:val="24"/>
              </w:rPr>
              <w:t>6</w:t>
            </w:r>
            <w:r>
              <w:rPr>
                <w:rFonts w:eastAsia="宋体"/>
                <w:b/>
                <w:sz w:val="24"/>
                <w:szCs w:val="24"/>
              </w:rPr>
              <w:t>大气污染物无组织排放量核算表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53"/>
              <w:gridCol w:w="1079"/>
              <w:gridCol w:w="526"/>
              <w:gridCol w:w="323"/>
              <w:gridCol w:w="1560"/>
              <w:gridCol w:w="670"/>
              <w:gridCol w:w="1171"/>
              <w:gridCol w:w="1419"/>
              <w:gridCol w:w="9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472"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排放口编号</w:t>
                  </w:r>
                </w:p>
              </w:tc>
              <w:tc>
                <w:tcPr>
                  <w:tcW w:w="597"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产污</w:t>
                  </w:r>
                  <w:r>
                    <w:rPr>
                      <w:rFonts w:eastAsia="宋体"/>
                      <w:sz w:val="21"/>
                      <w:szCs w:val="21"/>
                    </w:rPr>
                    <w:br w:type="textWrapping"/>
                  </w:r>
                  <w:r>
                    <w:rPr>
                      <w:rFonts w:eastAsia="宋体"/>
                      <w:sz w:val="21"/>
                      <w:szCs w:val="21"/>
                    </w:rPr>
                    <w:t>环节</w:t>
                  </w:r>
                </w:p>
              </w:tc>
              <w:tc>
                <w:tcPr>
                  <w:tcW w:w="470" w:type="pct"/>
                  <w:gridSpan w:val="2"/>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863" w:type="pct"/>
                  <w:vMerge w:val="restart"/>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主要污染防治措施</w:t>
                  </w:r>
                </w:p>
              </w:tc>
              <w:tc>
                <w:tcPr>
                  <w:tcW w:w="1804" w:type="pct"/>
                  <w:gridSpan w:val="3"/>
                  <w:tcBorders>
                    <w:top w:val="single" w:color="auto"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国家或地方污染物排放标准</w:t>
                  </w:r>
                </w:p>
              </w:tc>
              <w:tc>
                <w:tcPr>
                  <w:tcW w:w="538" w:type="pct"/>
                  <w:vMerge w:val="restart"/>
                  <w:tcBorders>
                    <w:top w:val="single" w:color="auto" w:sz="12"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472" w:type="pct"/>
                  <w:vMerge w:val="continue"/>
                  <w:tcBorders>
                    <w:top w:val="single" w:color="auto" w:sz="4" w:space="0"/>
                    <w:bottom w:val="single" w:color="000000" w:themeColor="text1" w:sz="12" w:space="0"/>
                  </w:tcBorders>
                </w:tcPr>
                <w:p>
                  <w:pPr>
                    <w:widowControl w:val="0"/>
                    <w:tabs>
                      <w:tab w:val="center" w:pos="4153"/>
                      <w:tab w:val="right" w:pos="8306"/>
                    </w:tabs>
                    <w:snapToGrid w:val="0"/>
                    <w:spacing w:line="240" w:lineRule="auto"/>
                    <w:jc w:val="center"/>
                    <w:rPr>
                      <w:rFonts w:eastAsia="宋体"/>
                      <w:sz w:val="21"/>
                      <w:szCs w:val="21"/>
                    </w:rPr>
                  </w:pPr>
                </w:p>
              </w:tc>
              <w:tc>
                <w:tcPr>
                  <w:tcW w:w="597"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470" w:type="pct"/>
                  <w:gridSpan w:val="2"/>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863"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1019" w:type="pct"/>
                  <w:gridSpan w:val="2"/>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标准名称</w:t>
                  </w:r>
                </w:p>
              </w:tc>
              <w:tc>
                <w:tcPr>
                  <w:tcW w:w="785" w:type="pct"/>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浓度限值/（μg/m</w:t>
                  </w:r>
                  <w:r>
                    <w:rPr>
                      <w:rFonts w:eastAsia="宋体"/>
                      <w:sz w:val="21"/>
                      <w:szCs w:val="21"/>
                      <w:vertAlign w:val="superscript"/>
                    </w:rPr>
                    <w:t>3</w:t>
                  </w:r>
                  <w:r>
                    <w:rPr>
                      <w:rFonts w:eastAsia="宋体"/>
                      <w:sz w:val="21"/>
                      <w:szCs w:val="21"/>
                    </w:rPr>
                    <w:t>）</w:t>
                  </w:r>
                </w:p>
              </w:tc>
              <w:tc>
                <w:tcPr>
                  <w:tcW w:w="538" w:type="pct"/>
                  <w:vMerge w:val="continue"/>
                  <w:tcBorders>
                    <w:top w:val="single" w:color="auto" w:sz="4" w:space="0"/>
                    <w:bottom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472"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卸油储油区</w:t>
                  </w:r>
                </w:p>
              </w:tc>
              <w:tc>
                <w:tcPr>
                  <w:tcW w:w="597"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大呼吸</w:t>
                  </w:r>
                </w:p>
              </w:tc>
              <w:tc>
                <w:tcPr>
                  <w:tcW w:w="470" w:type="pct"/>
                  <w:gridSpan w:val="2"/>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863" w:type="pct"/>
                  <w:tcBorders>
                    <w:top w:val="single" w:color="000000" w:themeColor="text1" w:sz="12"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汽油卸油油气回收系统</w:t>
                  </w:r>
                </w:p>
              </w:tc>
              <w:tc>
                <w:tcPr>
                  <w:tcW w:w="1019" w:type="pct"/>
                  <w:gridSpan w:val="2"/>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《大气污染物综合排放标准》（GB16297-1996）</w:t>
                  </w:r>
                </w:p>
              </w:tc>
              <w:tc>
                <w:tcPr>
                  <w:tcW w:w="785" w:type="pct"/>
                  <w:vMerge w:val="restart"/>
                  <w:tcBorders>
                    <w:top w:val="single" w:color="000000" w:themeColor="text1" w:sz="12"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r>
                    <w:rPr>
                      <w:rFonts w:eastAsia="宋体"/>
                      <w:sz w:val="21"/>
                      <w:szCs w:val="21"/>
                    </w:rPr>
                    <w:t>000</w:t>
                  </w:r>
                </w:p>
              </w:tc>
              <w:tc>
                <w:tcPr>
                  <w:tcW w:w="538" w:type="pct"/>
                  <w:tcBorders>
                    <w:top w:val="single" w:color="000000" w:themeColor="text1" w:sz="12" w:space="0"/>
                    <w:bottom w:val="single" w:color="auto" w:sz="4" w:space="0"/>
                  </w:tcBorders>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0.032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256" w:type="pct"/>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2</w:t>
                  </w:r>
                </w:p>
              </w:tc>
              <w:tc>
                <w:tcPr>
                  <w:tcW w:w="472" w:type="pct"/>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加油区</w:t>
                  </w:r>
                </w:p>
              </w:tc>
              <w:tc>
                <w:tcPr>
                  <w:tcW w:w="597"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加油零售</w:t>
                  </w:r>
                </w:p>
              </w:tc>
              <w:tc>
                <w:tcPr>
                  <w:tcW w:w="470" w:type="pct"/>
                  <w:gridSpan w:val="2"/>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863" w:type="pct"/>
                  <w:tcBorders>
                    <w:top w:val="single" w:color="auto" w:sz="4" w:space="0"/>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汽油加油油气回收系统</w:t>
                  </w:r>
                </w:p>
              </w:tc>
              <w:tc>
                <w:tcPr>
                  <w:tcW w:w="1019" w:type="pct"/>
                  <w:gridSpan w:val="2"/>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785" w:type="pct"/>
                  <w:vMerge w:val="continue"/>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p>
              </w:tc>
              <w:tc>
                <w:tcPr>
                  <w:tcW w:w="538" w:type="pct"/>
                  <w:tcBorders>
                    <w:top w:val="single" w:color="auto" w:sz="4" w:space="0"/>
                    <w:bottom w:val="single" w:color="auto" w:sz="4" w:space="0"/>
                  </w:tcBorders>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1.317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5000" w:type="pct"/>
                  <w:gridSpan w:val="10"/>
                  <w:tcBorders>
                    <w:top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616" w:type="pct"/>
                  <w:gridSpan w:val="4"/>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无组织排放总计</w:t>
                  </w:r>
                </w:p>
              </w:tc>
              <w:tc>
                <w:tcPr>
                  <w:tcW w:w="1413" w:type="pct"/>
                  <w:gridSpan w:val="3"/>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971" w:type="pct"/>
                  <w:gridSpan w:val="3"/>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1.349</w:t>
                  </w:r>
                </w:p>
              </w:tc>
            </w:tr>
          </w:tbl>
          <w:p>
            <w:pPr>
              <w:widowControl w:val="0"/>
              <w:tabs>
                <w:tab w:val="left" w:pos="1680"/>
              </w:tabs>
              <w:ind w:firstLine="560" w:firstLineChars="200"/>
              <w:jc w:val="both"/>
            </w:pPr>
          </w:p>
          <w:p>
            <w:pPr>
              <w:widowControl w:val="0"/>
              <w:spacing w:after="120" w:line="240" w:lineRule="auto"/>
              <w:ind w:firstLine="241" w:firstLineChars="100"/>
              <w:jc w:val="center"/>
              <w:rPr>
                <w:rFonts w:eastAsia="宋体"/>
                <w:b/>
                <w:sz w:val="24"/>
                <w:szCs w:val="24"/>
              </w:rPr>
            </w:pPr>
            <w:bookmarkStart w:id="6" w:name="_Ref488964738"/>
            <w:r>
              <w:rPr>
                <w:rFonts w:eastAsia="宋体"/>
                <w:b/>
                <w:sz w:val="24"/>
                <w:szCs w:val="24"/>
              </w:rPr>
              <w:t>表</w:t>
            </w:r>
            <w:bookmarkEnd w:id="6"/>
            <w:r>
              <w:rPr>
                <w:rFonts w:eastAsia="宋体"/>
                <w:b/>
                <w:sz w:val="24"/>
                <w:szCs w:val="24"/>
              </w:rPr>
              <w:t>7-</w:t>
            </w:r>
            <w:r>
              <w:rPr>
                <w:rFonts w:hint="eastAsia" w:eastAsia="宋体"/>
                <w:b/>
                <w:sz w:val="24"/>
                <w:szCs w:val="24"/>
              </w:rPr>
              <w:t>7</w:t>
            </w:r>
            <w:r>
              <w:rPr>
                <w:rFonts w:eastAsia="宋体"/>
                <w:b/>
                <w:sz w:val="24"/>
                <w:szCs w:val="24"/>
              </w:rPr>
              <w:t xml:space="preserve"> 大气污染物年排放量核算表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3415"/>
              <w:gridCol w:w="3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11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889"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污染物</w:t>
                  </w:r>
                </w:p>
              </w:tc>
              <w:tc>
                <w:tcPr>
                  <w:tcW w:w="1981"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30" w:type="pc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889" w:type="pct"/>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非甲烷总烃</w:t>
                  </w:r>
                </w:p>
              </w:tc>
              <w:tc>
                <w:tcPr>
                  <w:tcW w:w="1981" w:type="pct"/>
                  <w:vAlign w:val="center"/>
                </w:tcPr>
                <w:p>
                  <w:pPr>
                    <w:tabs>
                      <w:tab w:val="center" w:pos="4153"/>
                      <w:tab w:val="right" w:pos="8306"/>
                    </w:tabs>
                    <w:snapToGrid w:val="0"/>
                    <w:spacing w:line="240" w:lineRule="auto"/>
                    <w:jc w:val="center"/>
                    <w:rPr>
                      <w:rFonts w:eastAsia="宋体"/>
                      <w:sz w:val="21"/>
                      <w:szCs w:val="21"/>
                    </w:rPr>
                  </w:pPr>
                  <w:r>
                    <w:rPr>
                      <w:rFonts w:hint="eastAsia" w:eastAsia="宋体"/>
                      <w:sz w:val="21"/>
                      <w:szCs w:val="21"/>
                    </w:rPr>
                    <w:t>1.349</w:t>
                  </w:r>
                </w:p>
              </w:tc>
            </w:tr>
          </w:tbl>
          <w:p>
            <w:pPr>
              <w:widowControl w:val="0"/>
              <w:tabs>
                <w:tab w:val="left" w:pos="1680"/>
              </w:tabs>
              <w:ind w:firstLine="480" w:firstLineChars="200"/>
              <w:jc w:val="both"/>
              <w:rPr>
                <w:rFonts w:eastAsia="宋体"/>
                <w:sz w:val="24"/>
                <w:szCs w:val="24"/>
              </w:rPr>
            </w:pPr>
          </w:p>
          <w:p>
            <w:pPr>
              <w:ind w:firstLine="482" w:firstLineChars="200"/>
              <w:jc w:val="center"/>
              <w:rPr>
                <w:rFonts w:eastAsia="宋体"/>
                <w:b/>
                <w:sz w:val="24"/>
                <w:szCs w:val="24"/>
              </w:rPr>
            </w:pPr>
            <w:r>
              <w:rPr>
                <w:rFonts w:hint="eastAsia" w:eastAsia="宋体"/>
                <w:b/>
                <w:sz w:val="24"/>
                <w:szCs w:val="24"/>
              </w:rPr>
              <w:t>表7-8大气环境影响评价自查表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6"/>
              <w:gridCol w:w="1687"/>
              <w:gridCol w:w="975"/>
              <w:gridCol w:w="376"/>
              <w:gridCol w:w="83"/>
              <w:gridCol w:w="31"/>
              <w:gridCol w:w="387"/>
              <w:gridCol w:w="116"/>
              <w:gridCol w:w="560"/>
              <w:gridCol w:w="266"/>
              <w:gridCol w:w="60"/>
              <w:gridCol w:w="56"/>
              <w:gridCol w:w="108"/>
              <w:gridCol w:w="515"/>
              <w:gridCol w:w="410"/>
              <w:gridCol w:w="181"/>
              <w:gridCol w:w="428"/>
              <w:gridCol w:w="139"/>
              <w:gridCol w:w="72"/>
              <w:gridCol w:w="410"/>
              <w:gridCol w:w="483"/>
              <w:gridCol w:w="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1472" w:type="pct"/>
                  <w:gridSpan w:val="2"/>
                  <w:tcBorders>
                    <w:bottom w:val="nil"/>
                  </w:tcBorders>
                  <w:shd w:val="clear" w:color="auto" w:fill="auto"/>
                  <w:vAlign w:val="center"/>
                </w:tcPr>
                <w:p>
                  <w:pPr>
                    <w:widowControl w:val="0"/>
                    <w:adjustRightInd w:val="0"/>
                    <w:snapToGrid w:val="0"/>
                    <w:spacing w:line="240" w:lineRule="auto"/>
                    <w:jc w:val="center"/>
                    <w:rPr>
                      <w:rFonts w:eastAsia="宋体" w:cs="Calibri"/>
                      <w:b/>
                      <w:sz w:val="18"/>
                      <w:szCs w:val="18"/>
                    </w:rPr>
                  </w:pPr>
                  <w:r>
                    <w:rPr>
                      <w:rFonts w:hint="eastAsia" w:eastAsia="宋体" w:cs="Calibri"/>
                      <w:b/>
                      <w:sz w:val="18"/>
                      <w:szCs w:val="18"/>
                    </w:rPr>
                    <w:t>工作内容</w:t>
                  </w:r>
                </w:p>
              </w:tc>
              <w:tc>
                <w:tcPr>
                  <w:tcW w:w="3528" w:type="pct"/>
                  <w:gridSpan w:val="20"/>
                  <w:tcBorders>
                    <w:bottom w:val="nil"/>
                  </w:tcBorders>
                  <w:shd w:val="clear" w:color="auto" w:fill="auto"/>
                  <w:vAlign w:val="center"/>
                </w:tcPr>
                <w:p>
                  <w:pPr>
                    <w:widowControl w:val="0"/>
                    <w:adjustRightInd w:val="0"/>
                    <w:snapToGrid w:val="0"/>
                    <w:spacing w:line="240" w:lineRule="auto"/>
                    <w:jc w:val="center"/>
                    <w:rPr>
                      <w:rFonts w:eastAsia="宋体" w:cs="Calibri"/>
                      <w:b/>
                      <w:sz w:val="18"/>
                      <w:szCs w:val="18"/>
                    </w:rPr>
                  </w:pPr>
                  <w:r>
                    <w:rPr>
                      <w:rFonts w:hint="eastAsia" w:eastAsia="宋体" w:cs="Calibri"/>
                      <w:b/>
                      <w:sz w:val="18"/>
                      <w:szCs w:val="18"/>
                    </w:rPr>
                    <w:t>自查项目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评价等级与范围</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评价等级</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一级□</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二级</w:t>
                  </w:r>
                  <w:r>
                    <w:rPr>
                      <w:rFonts w:hint="eastAsia" w:ascii="MS Mincho" w:hAnsi="MS Mincho" w:eastAsia="MS Mincho" w:cs="MS Mincho"/>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评价范围</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=50km</w:t>
                  </w:r>
                  <w:r>
                    <w:rPr>
                      <w:rFonts w:hint="eastAsia" w:eastAsia="宋体" w:cs="Calibri"/>
                      <w:sz w:val="18"/>
                      <w:szCs w:val="18"/>
                    </w:rPr>
                    <w:t>□</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w:t>
                  </w:r>
                  <w:r>
                    <w:rPr>
                      <w:rFonts w:hint="eastAsia" w:eastAsia="宋体" w:cs="Calibri"/>
                      <w:sz w:val="18"/>
                      <w:szCs w:val="18"/>
                    </w:rPr>
                    <w:t>～</w:t>
                  </w:r>
                  <w:r>
                    <w:rPr>
                      <w:rFonts w:eastAsia="宋体" w:cs="Calibri"/>
                      <w:sz w:val="18"/>
                      <w:szCs w:val="18"/>
                    </w:rPr>
                    <w:t>50km</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 km</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评价因子</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SO</w:t>
                  </w:r>
                  <w:r>
                    <w:rPr>
                      <w:rFonts w:eastAsia="宋体" w:cs="Calibri"/>
                      <w:sz w:val="18"/>
                      <w:szCs w:val="18"/>
                      <w:vertAlign w:val="subscript"/>
                    </w:rPr>
                    <w:t>2</w:t>
                  </w:r>
                  <w:r>
                    <w:rPr>
                      <w:rFonts w:eastAsia="宋体" w:cs="Calibri"/>
                      <w:sz w:val="18"/>
                      <w:szCs w:val="18"/>
                    </w:rPr>
                    <w:t xml:space="preserve"> +NOx</w:t>
                  </w:r>
                  <w:r>
                    <w:rPr>
                      <w:rFonts w:hint="eastAsia" w:eastAsia="宋体" w:cs="Calibri"/>
                      <w:sz w:val="18"/>
                      <w:szCs w:val="18"/>
                    </w:rPr>
                    <w:t>排放量</w:t>
                  </w:r>
                </w:p>
              </w:tc>
              <w:tc>
                <w:tcPr>
                  <w:tcW w:w="747"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w:t>
                  </w:r>
                  <w:r>
                    <w:rPr>
                      <w:rFonts w:eastAsia="宋体" w:cs="Calibri"/>
                      <w:sz w:val="18"/>
                      <w:szCs w:val="18"/>
                    </w:rPr>
                    <w:t xml:space="preserve"> 2000t/a</w:t>
                  </w:r>
                  <w:r>
                    <w:rPr>
                      <w:rFonts w:hint="eastAsia" w:eastAsia="宋体" w:cs="Calibri"/>
                      <w:sz w:val="18"/>
                      <w:szCs w:val="18"/>
                    </w:rPr>
                    <w:t>□</w:t>
                  </w:r>
                </w:p>
              </w:tc>
              <w:tc>
                <w:tcPr>
                  <w:tcW w:w="1888" w:type="pct"/>
                  <w:gridSpan w:val="1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500 ~ 2000t/a</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w:t>
                  </w:r>
                  <w:r>
                    <w:rPr>
                      <w:rFonts w:eastAsia="宋体" w:cs="Calibri"/>
                      <w:sz w:val="18"/>
                      <w:szCs w:val="18"/>
                    </w:rPr>
                    <w:t>500 t/a</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评价因子</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 xml:space="preserve">基本污染物 ( / </w:t>
                  </w:r>
                  <w:r>
                    <w:rPr>
                      <w:rFonts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其他污染物 (非甲烷总烃</w:t>
                  </w:r>
                  <w:r>
                    <w:rPr>
                      <w:rFonts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包括二次</w:t>
                  </w:r>
                  <w:r>
                    <w:rPr>
                      <w:rFonts w:eastAsia="宋体" w:cs="Calibri"/>
                      <w:sz w:val="18"/>
                      <w:szCs w:val="18"/>
                    </w:rPr>
                    <w:t>PM2.5</w:t>
                  </w:r>
                  <w:r>
                    <w:rPr>
                      <w:rFonts w:hint="eastAsia"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不包括二次</w:t>
                  </w:r>
                  <w:r>
                    <w:rPr>
                      <w:rFonts w:eastAsia="宋体" w:cs="Calibri"/>
                      <w:sz w:val="18"/>
                      <w:szCs w:val="18"/>
                    </w:rPr>
                    <w:t>PM2.5</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评价标准</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评价标准</w:t>
                  </w:r>
                </w:p>
              </w:tc>
              <w:tc>
                <w:tcPr>
                  <w:tcW w:w="108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国家标准</w:t>
                  </w:r>
                  <w:r>
                    <w:rPr>
                      <w:rFonts w:hint="eastAsia" w:ascii="MS Mincho" w:hAnsi="MS Mincho" w:eastAsia="MS Mincho" w:cs="MS Mincho"/>
                      <w:sz w:val="18"/>
                      <w:szCs w:val="18"/>
                    </w:rPr>
                    <w:t>☑</w:t>
                  </w:r>
                </w:p>
              </w:tc>
              <w:tc>
                <w:tcPr>
                  <w:tcW w:w="866"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地方标准 □</w:t>
                  </w:r>
                </w:p>
              </w:tc>
              <w:tc>
                <w:tcPr>
                  <w:tcW w:w="90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附录</w:t>
                  </w:r>
                  <w:r>
                    <w:rPr>
                      <w:rFonts w:eastAsia="宋体" w:cs="Calibri"/>
                      <w:sz w:val="18"/>
                      <w:szCs w:val="18"/>
                    </w:rPr>
                    <w:t xml:space="preserve">D </w:t>
                  </w:r>
                  <w:r>
                    <w:rPr>
                      <w:rFonts w:hint="eastAsia" w:eastAsia="宋体" w:cs="Calibri"/>
                      <w:sz w:val="18"/>
                      <w:szCs w:val="18"/>
                    </w:rPr>
                    <w:t>□</w:t>
                  </w:r>
                </w:p>
              </w:tc>
              <w:tc>
                <w:tcPr>
                  <w:tcW w:w="666" w:type="pct"/>
                  <w:gridSpan w:val="2"/>
                  <w:shd w:val="clear" w:color="auto" w:fill="auto"/>
                  <w:vAlign w:val="center"/>
                </w:tcPr>
                <w:p>
                  <w:pPr>
                    <w:widowControl w:val="0"/>
                    <w:adjustRightInd w:val="0"/>
                    <w:snapToGrid w:val="0"/>
                    <w:spacing w:line="240" w:lineRule="auto"/>
                    <w:jc w:val="center"/>
                    <w:rPr>
                      <w:rFonts w:eastAsia="宋体" w:cs="Calibri"/>
                      <w:color w:val="FF0000"/>
                      <w:sz w:val="18"/>
                      <w:szCs w:val="18"/>
                    </w:rPr>
                  </w:pPr>
                  <w:r>
                    <w:rPr>
                      <w:rFonts w:hint="eastAsia" w:eastAsia="宋体" w:cs="Calibri"/>
                      <w:sz w:val="18"/>
                      <w:szCs w:val="18"/>
                    </w:rPr>
                    <w:t>其他标准</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现状评价</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环境功能区</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w:t>
                  </w:r>
                </w:p>
              </w:tc>
              <w:tc>
                <w:tcPr>
                  <w:tcW w:w="1197" w:type="pct"/>
                  <w:gridSpan w:val="9"/>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二类区</w:t>
                  </w:r>
                  <w:r>
                    <w:rPr>
                      <w:rFonts w:hint="eastAsia" w:ascii="MS Mincho" w:hAnsi="MS Mincho" w:eastAsia="MS Mincho" w:cs="MS Mincho"/>
                      <w:sz w:val="18"/>
                      <w:szCs w:val="18"/>
                    </w:rPr>
                    <w:t>☑</w:t>
                  </w:r>
                </w:p>
              </w:tc>
              <w:tc>
                <w:tcPr>
                  <w:tcW w:w="933"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一类区和二类区□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评价基准年</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环境空气质量</w:t>
                  </w:r>
                  <w:r>
                    <w:rPr>
                      <w:rFonts w:eastAsia="宋体" w:cs="Calibri"/>
                      <w:sz w:val="18"/>
                      <w:szCs w:val="18"/>
                    </w:rPr>
                    <w:br w:type="textWrapping"/>
                  </w:r>
                  <w:r>
                    <w:rPr>
                      <w:rFonts w:hint="eastAsia" w:eastAsia="宋体" w:cs="Calibri"/>
                      <w:sz w:val="18"/>
                      <w:szCs w:val="18"/>
                    </w:rPr>
                    <w:t>现状调查数据来源</w:t>
                  </w:r>
                </w:p>
              </w:tc>
              <w:tc>
                <w:tcPr>
                  <w:tcW w:w="1398" w:type="pct"/>
                  <w:gridSpan w:val="7"/>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长期例行监测数据□</w:t>
                  </w:r>
                </w:p>
              </w:tc>
              <w:tc>
                <w:tcPr>
                  <w:tcW w:w="1237"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主管部门发布的数据</w:t>
                  </w:r>
                  <w:r>
                    <w:rPr>
                      <w:rFonts w:hint="eastAsia" w:ascii="MS Mincho" w:hAnsi="MS Mincho" w:eastAsia="MS Mincho" w:cs="MS Mincho"/>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现状补充监测□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现状评价</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达标区□</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不达标区</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w:t>
                  </w:r>
                  <w:r>
                    <w:rPr>
                      <w:rFonts w:eastAsia="宋体" w:cs="Calibri"/>
                      <w:sz w:val="18"/>
                      <w:szCs w:val="18"/>
                    </w:rPr>
                    <w:br w:type="textWrapping"/>
                  </w:r>
                  <w:r>
                    <w:rPr>
                      <w:rFonts w:hint="eastAsia" w:eastAsia="宋体" w:cs="Calibri"/>
                      <w:sz w:val="18"/>
                      <w:szCs w:val="18"/>
                    </w:rPr>
                    <w:t>调查</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调查内容</w:t>
                  </w:r>
                </w:p>
              </w:tc>
              <w:tc>
                <w:tcPr>
                  <w:tcW w:w="108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 xml:space="preserve">本项目正常排放源 </w:t>
                  </w:r>
                  <w:r>
                    <w:rPr>
                      <w:rFonts w:hint="eastAsia" w:ascii="MS Mincho" w:hAnsi="MS Mincho" w:eastAsia="MS Mincho" w:cs="MS Mincho"/>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本项目非正常排放源□</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现有污染源□</w:t>
                  </w:r>
                </w:p>
              </w:tc>
              <w:tc>
                <w:tcPr>
                  <w:tcW w:w="866"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拟替代的污染源□</w:t>
                  </w:r>
                </w:p>
              </w:tc>
              <w:tc>
                <w:tcPr>
                  <w:tcW w:w="908"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其他在建、拟建项目污染源□</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区域污染源□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大气环境影响预测与</w:t>
                  </w:r>
                  <w:r>
                    <w:rPr>
                      <w:rFonts w:eastAsia="宋体" w:cs="Calibri"/>
                      <w:sz w:val="18"/>
                      <w:szCs w:val="18"/>
                    </w:rPr>
                    <w:br w:type="textWrapping"/>
                  </w:r>
                  <w:r>
                    <w:rPr>
                      <w:rFonts w:hint="eastAsia" w:eastAsia="宋体" w:cs="Calibri"/>
                      <w:sz w:val="18"/>
                      <w:szCs w:val="18"/>
                    </w:rPr>
                    <w:t>评价</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预测模型</w:t>
                  </w:r>
                </w:p>
              </w:tc>
              <w:tc>
                <w:tcPr>
                  <w:tcW w:w="539" w:type="pct"/>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AERMOD</w:t>
                  </w:r>
                  <w:r>
                    <w:rPr>
                      <w:rFonts w:eastAsia="宋体" w:cs="Calibri"/>
                      <w:sz w:val="18"/>
                      <w:szCs w:val="18"/>
                    </w:rPr>
                    <w:br w:type="textWrapping"/>
                  </w:r>
                  <w:r>
                    <w:rPr>
                      <w:rFonts w:hint="eastAsia" w:eastAsia="宋体" w:cs="Calibri"/>
                      <w:sz w:val="18"/>
                      <w:szCs w:val="18"/>
                    </w:rPr>
                    <w:t>□</w:t>
                  </w:r>
                </w:p>
              </w:tc>
              <w:tc>
                <w:tcPr>
                  <w:tcW w:w="485"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ADMS</w:t>
                  </w:r>
                  <w:r>
                    <w:rPr>
                      <w:rFonts w:eastAsia="宋体" w:cs="Calibri"/>
                      <w:sz w:val="18"/>
                      <w:szCs w:val="18"/>
                    </w:rPr>
                    <w:br w:type="textWrapping"/>
                  </w:r>
                  <w:r>
                    <w:rPr>
                      <w:rFonts w:hint="eastAsia" w:eastAsia="宋体" w:cs="Calibri"/>
                      <w:sz w:val="18"/>
                      <w:szCs w:val="18"/>
                    </w:rPr>
                    <w:t>□</w:t>
                  </w:r>
                </w:p>
              </w:tc>
              <w:tc>
                <w:tcPr>
                  <w:tcW w:w="585"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AUSTAL2000</w:t>
                  </w:r>
                  <w:r>
                    <w:rPr>
                      <w:rFonts w:hint="eastAsia" w:eastAsia="宋体" w:cs="Calibri"/>
                      <w:sz w:val="18"/>
                      <w:szCs w:val="18"/>
                    </w:rPr>
                    <w:t>□</w:t>
                  </w:r>
                </w:p>
              </w:tc>
              <w:tc>
                <w:tcPr>
                  <w:tcW w:w="572"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EDMS/AEDT</w:t>
                  </w:r>
                  <w:r>
                    <w:rPr>
                      <w:rFonts w:hint="eastAsia" w:eastAsia="宋体" w:cs="Calibri"/>
                      <w:sz w:val="18"/>
                      <w:szCs w:val="18"/>
                    </w:rPr>
                    <w:t>□</w:t>
                  </w:r>
                </w:p>
              </w:tc>
              <w:tc>
                <w:tcPr>
                  <w:tcW w:w="453" w:type="pct"/>
                  <w:gridSpan w:val="4"/>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CALPUFF</w:t>
                  </w:r>
                  <w:r>
                    <w:rPr>
                      <w:rFonts w:hint="eastAsia" w:eastAsia="宋体" w:cs="Calibri"/>
                      <w:sz w:val="18"/>
                      <w:szCs w:val="18"/>
                    </w:rPr>
                    <w:t>□</w:t>
                  </w:r>
                </w:p>
              </w:tc>
              <w:tc>
                <w:tcPr>
                  <w:tcW w:w="494"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网格模型</w:t>
                  </w:r>
                  <w:r>
                    <w:rPr>
                      <w:rFonts w:eastAsia="宋体" w:cs="Calibri"/>
                      <w:sz w:val="18"/>
                      <w:szCs w:val="18"/>
                    </w:rPr>
                    <w:br w:type="textWrapping"/>
                  </w:r>
                  <w:r>
                    <w:rPr>
                      <w:rFonts w:hint="eastAsia" w:eastAsia="宋体" w:cs="Calibri"/>
                      <w:sz w:val="18"/>
                      <w:szCs w:val="18"/>
                    </w:rPr>
                    <w:t>□</w:t>
                  </w:r>
                </w:p>
              </w:tc>
              <w:tc>
                <w:tcPr>
                  <w:tcW w:w="399"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其他</w:t>
                  </w:r>
                  <w:r>
                    <w:rPr>
                      <w:rFonts w:eastAsia="宋体" w:cs="Calibri"/>
                      <w:sz w:val="18"/>
                      <w:szCs w:val="18"/>
                    </w:rPr>
                    <w:br w:type="textWrapping"/>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预测范围</w:t>
                  </w:r>
                </w:p>
              </w:tc>
              <w:tc>
                <w:tcPr>
                  <w:tcW w:w="1024"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 xml:space="preserve"> 50km</w:t>
                  </w:r>
                  <w:r>
                    <w:rPr>
                      <w:rFonts w:hint="eastAsia" w:eastAsia="宋体" w:cs="Calibri"/>
                      <w:sz w:val="18"/>
                      <w:szCs w:val="18"/>
                    </w:rPr>
                    <w:t>□</w:t>
                  </w:r>
                </w:p>
              </w:tc>
              <w:tc>
                <w:tcPr>
                  <w:tcW w:w="1611"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5</w:t>
                  </w:r>
                  <w:r>
                    <w:rPr>
                      <w:rFonts w:hint="eastAsia" w:eastAsia="宋体" w:cs="Calibri"/>
                      <w:sz w:val="18"/>
                      <w:szCs w:val="18"/>
                    </w:rPr>
                    <w:t>～</w:t>
                  </w:r>
                  <w:r>
                    <w:rPr>
                      <w:rFonts w:eastAsia="宋体" w:cs="Calibri"/>
                      <w:sz w:val="18"/>
                      <w:szCs w:val="18"/>
                    </w:rPr>
                    <w:t xml:space="preserve">50km </w:t>
                  </w:r>
                  <w:r>
                    <w:rPr>
                      <w:rFonts w:hint="eastAsia" w:eastAsia="宋体" w:cs="Calibri"/>
                      <w:sz w:val="18"/>
                      <w:szCs w:val="18"/>
                    </w:rPr>
                    <w:t>□</w:t>
                  </w:r>
                </w:p>
              </w:tc>
              <w:tc>
                <w:tcPr>
                  <w:tcW w:w="8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边长</w:t>
                  </w:r>
                  <w:r>
                    <w:rPr>
                      <w:rFonts w:eastAsia="宋体" w:cs="Calibri"/>
                      <w:sz w:val="18"/>
                      <w:szCs w:val="18"/>
                    </w:rPr>
                    <w:t xml:space="preserve"> = 5 km </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预测因子</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预测因子(非甲烷总烃</w:t>
                  </w:r>
                  <w:r>
                    <w:rPr>
                      <w:rFonts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包括二次</w:t>
                  </w:r>
                  <w:r>
                    <w:rPr>
                      <w:rFonts w:eastAsia="宋体" w:cs="Calibri"/>
                      <w:sz w:val="18"/>
                      <w:szCs w:val="18"/>
                    </w:rPr>
                    <w:t xml:space="preserve">PM2.5 </w:t>
                  </w:r>
                  <w:r>
                    <w:rPr>
                      <w:rFonts w:hint="eastAsia" w:eastAsia="宋体" w:cs="Calibri"/>
                      <w:sz w:val="18"/>
                      <w:szCs w:val="18"/>
                    </w:rPr>
                    <w:t>□</w:t>
                  </w:r>
                </w:p>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不包括二次</w:t>
                  </w:r>
                  <w:r>
                    <w:rPr>
                      <w:rFonts w:eastAsia="宋体" w:cs="Calibri"/>
                      <w:sz w:val="18"/>
                      <w:szCs w:val="18"/>
                    </w:rPr>
                    <w:t xml:space="preserve">PM2.5 </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正常排放短期浓度</w:t>
                  </w:r>
                  <w:r>
                    <w:rPr>
                      <w:rFonts w:eastAsia="宋体" w:cs="Calibri"/>
                      <w:sz w:val="18"/>
                      <w:szCs w:val="18"/>
                    </w:rPr>
                    <w:br w:type="textWrapping"/>
                  </w:r>
                  <w:r>
                    <w:rPr>
                      <w:rFonts w:hint="eastAsia" w:eastAsia="宋体" w:cs="Calibri"/>
                      <w:sz w:val="18"/>
                      <w:szCs w:val="18"/>
                    </w:rPr>
                    <w:t>贡献值</w:t>
                  </w:r>
                </w:p>
              </w:tc>
              <w:tc>
                <w:tcPr>
                  <w:tcW w:w="1954" w:type="pct"/>
                  <w:gridSpan w:val="12"/>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2"/>
                          </w:rPr>
                        </m:ctrlPr>
                      </m:sSubPr>
                      <m:e>
                        <m:r>
                          <w:rPr>
                            <w:rFonts w:ascii="Cambria Math" w:hAnsi="Cambria Math"/>
                            <w:color w:val="000000"/>
                            <w:sz w:val="22"/>
                          </w:rPr>
                          <m:t>C</m:t>
                        </m:r>
                        <m:ctrlPr>
                          <w:rPr>
                            <w:rFonts w:ascii="Cambria Math" w:hAnsi="Cambria Math"/>
                            <w:i/>
                            <w:color w:val="000000"/>
                            <w:sz w:val="22"/>
                          </w:rPr>
                        </m:ctrlPr>
                      </m:e>
                      <m:sub>
                        <m:r>
                          <m:rPr>
                            <m:sty m:val="p"/>
                          </m:rPr>
                          <w:rPr>
                            <w:rFonts w:hint="eastAsia" w:ascii="Cambria Math" w:hAnsi="Cambria Math"/>
                            <w:color w:val="000000"/>
                            <w:sz w:val="22"/>
                          </w:rPr>
                          <m:t>本项目</m:t>
                        </m:r>
                        <m:ctrlPr>
                          <w:rPr>
                            <w:rFonts w:ascii="Cambria Math" w:hAnsi="Cambria Math"/>
                            <w:i/>
                            <w:color w:val="000000"/>
                            <w:sz w:val="22"/>
                          </w:rPr>
                        </m:ctrlPr>
                      </m:sub>
                    </m:sSub>
                  </m:oMath>
                  <w:r>
                    <w:rPr>
                      <w:rFonts w:hint="eastAsia" w:eastAsia="宋体" w:cs="Calibri"/>
                      <w:sz w:val="18"/>
                      <w:szCs w:val="18"/>
                    </w:rPr>
                    <w:t>最大占标率≤</w:t>
                  </w:r>
                  <w:r>
                    <w:rPr>
                      <w:rFonts w:eastAsia="宋体" w:cs="Calibri"/>
                      <w:sz w:val="18"/>
                      <w:szCs w:val="18"/>
                    </w:rPr>
                    <w:t>100%</w:t>
                  </w:r>
                  <w:r>
                    <w:rPr>
                      <w:rFonts w:hint="eastAsia" w:ascii="MS Mincho" w:hAnsi="MS Mincho" w:eastAsia="MS Mincho" w:cs="MS Mincho"/>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2"/>
                          </w:rPr>
                        </m:ctrlPr>
                      </m:sSubPr>
                      <m:e>
                        <m:r>
                          <w:rPr>
                            <w:rFonts w:ascii="Cambria Math" w:hAnsi="Cambria Math"/>
                            <w:color w:val="000000"/>
                            <w:sz w:val="22"/>
                          </w:rPr>
                          <m:t>C</m:t>
                        </m:r>
                        <m:ctrlPr>
                          <w:rPr>
                            <w:rFonts w:ascii="Cambria Math" w:hAnsi="Cambria Math"/>
                            <w:i/>
                            <w:color w:val="000000"/>
                            <w:sz w:val="22"/>
                          </w:rPr>
                        </m:ctrlPr>
                      </m:e>
                      <m:sub>
                        <m:r>
                          <m:rPr>
                            <m:sty m:val="p"/>
                          </m:rPr>
                          <w:rPr>
                            <w:rFonts w:hint="eastAsia" w:ascii="Cambria Math" w:hAnsi="Cambria Math"/>
                            <w:color w:val="000000"/>
                            <w:sz w:val="22"/>
                          </w:rPr>
                          <m:t>本项目</m:t>
                        </m:r>
                        <m:ctrlPr>
                          <w:rPr>
                            <w:rFonts w:ascii="Cambria Math" w:hAnsi="Cambria Math"/>
                            <w:i/>
                            <w:color w:val="000000"/>
                            <w:sz w:val="22"/>
                          </w:rPr>
                        </m:ctrlPr>
                      </m:sub>
                    </m:sSub>
                  </m:oMath>
                  <w:r>
                    <w:rPr>
                      <w:rFonts w:hint="eastAsia" w:eastAsia="宋体" w:cs="Calibri"/>
                      <w:sz w:val="18"/>
                      <w:szCs w:val="18"/>
                    </w:rPr>
                    <w:t>最大占标率＞</w:t>
                  </w:r>
                  <w:r>
                    <w:rPr>
                      <w:rFonts w:eastAsia="宋体" w:cs="Calibri"/>
                      <w:sz w:val="18"/>
                      <w:szCs w:val="18"/>
                    </w:rPr>
                    <w:t xml:space="preserve">100%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正常排放年均浓度</w:t>
                  </w:r>
                  <w:r>
                    <w:rPr>
                      <w:rFonts w:eastAsia="宋体" w:cs="Calibri"/>
                      <w:sz w:val="18"/>
                      <w:szCs w:val="18"/>
                    </w:rPr>
                    <w:br w:type="textWrapping"/>
                  </w:r>
                  <w:r>
                    <w:rPr>
                      <w:rFonts w:hint="eastAsia" w:eastAsia="宋体" w:cs="Calibri"/>
                      <w:sz w:val="18"/>
                      <w:szCs w:val="18"/>
                    </w:rPr>
                    <w:t>贡献值</w:t>
                  </w: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一类区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最大占标率</w:t>
                  </w:r>
                  <w:bookmarkStart w:id="7" w:name="OLE_LINK5"/>
                  <w:bookmarkStart w:id="8" w:name="OLE_LINK7"/>
                  <w:r>
                    <w:rPr>
                      <w:rFonts w:hint="eastAsia" w:eastAsia="宋体" w:cs="Calibri"/>
                      <w:sz w:val="18"/>
                      <w:szCs w:val="18"/>
                    </w:rPr>
                    <w:t>≤</w:t>
                  </w:r>
                  <w:bookmarkEnd w:id="7"/>
                  <w:bookmarkEnd w:id="8"/>
                  <w:r>
                    <w:rPr>
                      <w:rFonts w:eastAsia="宋体" w:cs="Calibri"/>
                      <w:sz w:val="18"/>
                      <w:szCs w:val="18"/>
                    </w:rPr>
                    <w:t>10%</w:t>
                  </w:r>
                  <w:r>
                    <w:rPr>
                      <w:rFonts w:hint="eastAsia"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最大标率＞</w:t>
                  </w:r>
                  <w:r>
                    <w:rPr>
                      <w:rFonts w:eastAsia="宋体" w:cs="Calibri"/>
                      <w:sz w:val="18"/>
                      <w:szCs w:val="18"/>
                    </w:rPr>
                    <w:t xml:space="preserve">10%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539" w:type="pct"/>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二类区</w:t>
                  </w:r>
                </w:p>
              </w:tc>
              <w:tc>
                <w:tcPr>
                  <w:tcW w:w="1415" w:type="pct"/>
                  <w:gridSpan w:val="11"/>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最大占标率≤</w:t>
                  </w:r>
                  <w:r>
                    <w:rPr>
                      <w:rFonts w:eastAsia="宋体" w:cs="Calibri"/>
                      <w:sz w:val="18"/>
                      <w:szCs w:val="18"/>
                    </w:rPr>
                    <w:t>30%</w:t>
                  </w:r>
                  <w:r>
                    <w:rPr>
                      <w:rFonts w:hint="eastAsia" w:eastAsia="宋体" w:cs="Calibri"/>
                      <w:sz w:val="18"/>
                      <w:szCs w:val="18"/>
                    </w:rPr>
                    <w:t>□</w:t>
                  </w:r>
                </w:p>
              </w:tc>
              <w:tc>
                <w:tcPr>
                  <w:tcW w:w="1574" w:type="pct"/>
                  <w:gridSpan w:val="8"/>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本项目</m:t>
                        </m:r>
                        <m:ctrlPr>
                          <w:rPr>
                            <w:rFonts w:ascii="Cambria Math" w:hAnsi="Cambria Math"/>
                            <w:i/>
                            <w:color w:val="000000"/>
                            <w:sz w:val="21"/>
                          </w:rPr>
                        </m:ctrlPr>
                      </m:sub>
                    </m:sSub>
                  </m:oMath>
                  <w:r>
                    <w:rPr>
                      <w:rFonts w:hint="eastAsia" w:eastAsia="宋体" w:cs="Calibri"/>
                      <w:sz w:val="18"/>
                      <w:szCs w:val="18"/>
                    </w:rPr>
                    <w:t>最大标率＞</w:t>
                  </w:r>
                  <w:r>
                    <w:rPr>
                      <w:rFonts w:eastAsia="宋体" w:cs="Calibri"/>
                      <w:sz w:val="18"/>
                      <w:szCs w:val="18"/>
                    </w:rPr>
                    <w:t xml:space="preserve">30%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非正常排放</w:t>
                  </w:r>
                  <w:r>
                    <w:rPr>
                      <w:rFonts w:eastAsia="宋体" w:cs="Calibri"/>
                      <w:sz w:val="18"/>
                      <w:szCs w:val="18"/>
                    </w:rPr>
                    <w:t>1h</w:t>
                  </w:r>
                  <w:r>
                    <w:rPr>
                      <w:rFonts w:hint="eastAsia" w:eastAsia="宋体" w:cs="Calibri"/>
                      <w:sz w:val="18"/>
                      <w:szCs w:val="18"/>
                    </w:rPr>
                    <w:t>浓度</w:t>
                  </w:r>
                  <w:r>
                    <w:rPr>
                      <w:rFonts w:eastAsia="宋体" w:cs="Calibri"/>
                      <w:sz w:val="18"/>
                      <w:szCs w:val="18"/>
                    </w:rPr>
                    <w:br w:type="textWrapping"/>
                  </w:r>
                  <w:r>
                    <w:rPr>
                      <w:rFonts w:hint="eastAsia" w:eastAsia="宋体" w:cs="Calibri"/>
                      <w:sz w:val="18"/>
                      <w:szCs w:val="18"/>
                    </w:rPr>
                    <w:t>贡献值</w:t>
                  </w:r>
                </w:p>
              </w:tc>
              <w:tc>
                <w:tcPr>
                  <w:tcW w:w="810" w:type="pct"/>
                  <w:gridSpan w:val="4"/>
                  <w:tcBorders>
                    <w:righ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非正常持续时长</w:t>
                  </w:r>
                  <w:r>
                    <w:rPr>
                      <w:rFonts w:eastAsia="宋体" w:cs="Calibri"/>
                      <w:sz w:val="18"/>
                      <w:szCs w:val="18"/>
                    </w:rPr>
                    <w:br w:type="textWrapping"/>
                  </w:r>
                  <w:r>
                    <w:rPr>
                      <w:rFonts w:hint="eastAsia" w:eastAsia="宋体" w:cs="Calibri"/>
                      <w:sz w:val="18"/>
                      <w:szCs w:val="18"/>
                    </w:rPr>
                    <w:t>（/）</w:t>
                  </w:r>
                  <w:r>
                    <w:rPr>
                      <w:rFonts w:eastAsia="宋体" w:cs="Calibri"/>
                      <w:sz w:val="18"/>
                      <w:szCs w:val="18"/>
                    </w:rPr>
                    <w:t>h</w:t>
                  </w:r>
                </w:p>
              </w:tc>
              <w:tc>
                <w:tcPr>
                  <w:tcW w:w="1471" w:type="pct"/>
                  <w:gridSpan w:val="10"/>
                  <w:tcBorders>
                    <w:left w:val="single" w:color="auto" w:sz="4" w:space="0"/>
                  </w:tcBorders>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非正常</m:t>
                        </m:r>
                        <m:ctrlPr>
                          <w:rPr>
                            <w:rFonts w:ascii="Cambria Math" w:hAnsi="Cambria Math"/>
                            <w:i/>
                            <w:color w:val="000000"/>
                            <w:sz w:val="21"/>
                          </w:rPr>
                        </m:ctrlPr>
                      </m:sub>
                    </m:sSub>
                  </m:oMath>
                  <w:r>
                    <w:rPr>
                      <w:rFonts w:hint="eastAsia" w:eastAsia="宋体" w:cs="Calibri"/>
                      <w:sz w:val="18"/>
                      <w:szCs w:val="18"/>
                    </w:rPr>
                    <w:t>占标率≤</w:t>
                  </w:r>
                  <w:r>
                    <w:rPr>
                      <w:rFonts w:eastAsia="宋体" w:cs="Calibri"/>
                      <w:sz w:val="18"/>
                      <w:szCs w:val="18"/>
                    </w:rPr>
                    <w:t xml:space="preserve">100% </w:t>
                  </w:r>
                  <w:r>
                    <w:rPr>
                      <w:rFonts w:hint="eastAsia" w:eastAsia="宋体" w:cs="Calibri"/>
                      <w:sz w:val="18"/>
                      <w:szCs w:val="18"/>
                    </w:rPr>
                    <w:t>□</w:t>
                  </w:r>
                </w:p>
              </w:tc>
              <w:tc>
                <w:tcPr>
                  <w:tcW w:w="1247" w:type="pct"/>
                  <w:gridSpan w:val="6"/>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非正常</m:t>
                        </m:r>
                        <m:ctrlPr>
                          <w:rPr>
                            <w:rFonts w:ascii="Cambria Math" w:hAnsi="Cambria Math"/>
                            <w:i/>
                            <w:color w:val="000000"/>
                            <w:sz w:val="21"/>
                          </w:rPr>
                        </m:ctrlPr>
                      </m:sub>
                    </m:sSub>
                  </m:oMath>
                  <w:r>
                    <w:rPr>
                      <w:rFonts w:hint="eastAsia" w:eastAsia="宋体" w:cs="Calibri"/>
                      <w:sz w:val="18"/>
                      <w:szCs w:val="18"/>
                    </w:rPr>
                    <w:t>占标率＞</w:t>
                  </w:r>
                  <w:r>
                    <w:rPr>
                      <w:rFonts w:eastAsia="宋体" w:cs="Calibri"/>
                      <w:sz w:val="18"/>
                      <w:szCs w:val="18"/>
                    </w:rPr>
                    <w:t>100%</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保证率日平均浓度和年平均浓度叠加值</w:t>
                  </w:r>
                </w:p>
              </w:tc>
              <w:tc>
                <w:tcPr>
                  <w:tcW w:w="1669" w:type="pct"/>
                  <w:gridSpan w:val="11"/>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叠加</m:t>
                        </m:r>
                        <m:ctrlPr>
                          <w:rPr>
                            <w:rFonts w:ascii="Cambria Math" w:hAnsi="Cambria Math"/>
                            <w:i/>
                            <w:color w:val="000000"/>
                            <w:sz w:val="21"/>
                          </w:rPr>
                        </m:ctrlPr>
                      </m:sub>
                    </m:sSub>
                  </m:oMath>
                  <w:r>
                    <w:rPr>
                      <w:rFonts w:hint="eastAsia" w:eastAsia="宋体" w:cs="Calibri"/>
                      <w:sz w:val="18"/>
                      <w:szCs w:val="18"/>
                    </w:rPr>
                    <w:t>达标□</w:t>
                  </w:r>
                </w:p>
              </w:tc>
              <w:tc>
                <w:tcPr>
                  <w:tcW w:w="1858" w:type="pct"/>
                  <w:gridSpan w:val="9"/>
                  <w:shd w:val="clear" w:color="auto" w:fill="auto"/>
                  <w:vAlign w:val="center"/>
                </w:tcPr>
                <w:p>
                  <w:pPr>
                    <w:widowControl w:val="0"/>
                    <w:adjustRightInd w:val="0"/>
                    <w:snapToGrid w:val="0"/>
                    <w:spacing w:line="240" w:lineRule="auto"/>
                    <w:jc w:val="center"/>
                    <w:rPr>
                      <w:rFonts w:eastAsia="宋体" w:cs="Calibri"/>
                      <w:sz w:val="18"/>
                      <w:szCs w:val="18"/>
                    </w:rPr>
                  </w:pPr>
                  <m:oMath>
                    <m:sSub>
                      <m:sSubPr>
                        <m:ctrlPr>
                          <w:rPr>
                            <w:rFonts w:ascii="Cambria Math" w:hAnsi="Cambria Math"/>
                            <w:i/>
                            <w:color w:val="000000"/>
                            <w:sz w:val="21"/>
                          </w:rPr>
                        </m:ctrlPr>
                      </m:sSubPr>
                      <m:e>
                        <m:r>
                          <w:rPr>
                            <w:rFonts w:ascii="Cambria Math" w:hAnsi="Cambria Math"/>
                            <w:color w:val="000000"/>
                            <w:sz w:val="21"/>
                          </w:rPr>
                          <m:t>C</m:t>
                        </m:r>
                        <m:ctrlPr>
                          <w:rPr>
                            <w:rFonts w:ascii="Cambria Math" w:hAnsi="Cambria Math"/>
                            <w:i/>
                            <w:color w:val="000000"/>
                            <w:sz w:val="21"/>
                          </w:rPr>
                        </m:ctrlPr>
                      </m:e>
                      <m:sub>
                        <m:r>
                          <m:rPr>
                            <m:sty m:val="p"/>
                          </m:rPr>
                          <w:rPr>
                            <w:rFonts w:hint="eastAsia" w:ascii="Cambria Math" w:hAnsi="Cambria Math"/>
                            <w:color w:val="000000"/>
                            <w:sz w:val="21"/>
                          </w:rPr>
                          <m:t>叠加</m:t>
                        </m:r>
                        <m:ctrlPr>
                          <w:rPr>
                            <w:rFonts w:ascii="Cambria Math" w:hAnsi="Cambria Math"/>
                            <w:i/>
                            <w:color w:val="000000"/>
                            <w:sz w:val="21"/>
                          </w:rPr>
                        </m:ctrlPr>
                      </m:sub>
                    </m:sSub>
                  </m:oMath>
                  <w:r>
                    <w:rPr>
                      <w:rFonts w:hint="eastAsia" w:eastAsia="宋体" w:cs="Calibri"/>
                      <w:sz w:val="18"/>
                      <w:szCs w:val="18"/>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区域环境质量的整体变化情况</w:t>
                  </w:r>
                </w:p>
              </w:tc>
              <w:tc>
                <w:tcPr>
                  <w:tcW w:w="1669" w:type="pct"/>
                  <w:gridSpan w:val="11"/>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 xml:space="preserve">k </w:t>
                  </w:r>
                  <w:r>
                    <w:rPr>
                      <w:rFonts w:hint="eastAsia" w:eastAsia="宋体" w:cs="Calibri"/>
                      <w:sz w:val="18"/>
                      <w:szCs w:val="18"/>
                    </w:rPr>
                    <w:t>≤</w:t>
                  </w:r>
                  <w:r>
                    <w:rPr>
                      <w:rFonts w:eastAsia="宋体" w:cs="Calibri"/>
                      <w:sz w:val="18"/>
                      <w:szCs w:val="18"/>
                    </w:rPr>
                    <w:t xml:space="preserve">-20% </w:t>
                  </w:r>
                  <w:r>
                    <w:rPr>
                      <w:rFonts w:hint="eastAsia" w:eastAsia="宋体" w:cs="Calibri"/>
                      <w:sz w:val="18"/>
                      <w:szCs w:val="18"/>
                    </w:rPr>
                    <w:t>□</w:t>
                  </w:r>
                </w:p>
              </w:tc>
              <w:tc>
                <w:tcPr>
                  <w:tcW w:w="1858" w:type="pct"/>
                  <w:gridSpan w:val="9"/>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 xml:space="preserve">k </w:t>
                  </w:r>
                  <w:r>
                    <w:rPr>
                      <w:rFonts w:hint="eastAsia" w:eastAsia="宋体" w:cs="Calibri"/>
                      <w:sz w:val="18"/>
                      <w:szCs w:val="18"/>
                    </w:rPr>
                    <w:t>＞</w:t>
                  </w:r>
                  <w:r>
                    <w:rPr>
                      <w:rFonts w:eastAsia="宋体" w:cs="Calibri"/>
                      <w:sz w:val="18"/>
                      <w:szCs w:val="18"/>
                    </w:rPr>
                    <w:t xml:space="preserve">-20% </w:t>
                  </w:r>
                  <w:r>
                    <w:rPr>
                      <w:rFonts w:hint="eastAsia" w:eastAsia="宋体" w:cs="Calibri"/>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环境监测</w:t>
                  </w:r>
                  <w:r>
                    <w:rPr>
                      <w:rFonts w:eastAsia="宋体" w:cs="Calibri"/>
                      <w:sz w:val="18"/>
                      <w:szCs w:val="18"/>
                    </w:rPr>
                    <w:br w:type="textWrapping"/>
                  </w:r>
                  <w:r>
                    <w:rPr>
                      <w:rFonts w:hint="eastAsia" w:eastAsia="宋体" w:cs="Calibri"/>
                      <w:sz w:val="18"/>
                      <w:szCs w:val="18"/>
                    </w:rPr>
                    <w:t>计划</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污染源监测</w:t>
                  </w:r>
                </w:p>
              </w:tc>
              <w:tc>
                <w:tcPr>
                  <w:tcW w:w="1545"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监测因子：（非甲烷总烃）</w:t>
                  </w:r>
                </w:p>
              </w:tc>
              <w:tc>
                <w:tcPr>
                  <w:tcW w:w="1316"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有组织废气监测 □</w:t>
                  </w:r>
                  <w:r>
                    <w:rPr>
                      <w:rFonts w:eastAsia="宋体" w:cs="Calibri"/>
                      <w:sz w:val="18"/>
                      <w:szCs w:val="18"/>
                    </w:rPr>
                    <w:br w:type="textWrapping"/>
                  </w:r>
                  <w:r>
                    <w:rPr>
                      <w:rFonts w:hint="eastAsia" w:eastAsia="宋体" w:cs="Calibri"/>
                      <w:sz w:val="18"/>
                      <w:szCs w:val="18"/>
                    </w:rPr>
                    <w:t>无组织废气监测</w:t>
                  </w:r>
                  <w:r>
                    <w:rPr>
                      <w:rFonts w:hint="eastAsia" w:ascii="MS Mincho" w:hAnsi="MS Mincho" w:eastAsia="MS Mincho" w:cs="MS Mincho"/>
                      <w:sz w:val="18"/>
                      <w:szCs w:val="18"/>
                    </w:rPr>
                    <w:t>☑</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无监测□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环境质量监测</w:t>
                  </w:r>
                </w:p>
              </w:tc>
              <w:tc>
                <w:tcPr>
                  <w:tcW w:w="1545" w:type="pct"/>
                  <w:gridSpan w:val="8"/>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监测因子：（/）</w:t>
                  </w:r>
                </w:p>
              </w:tc>
              <w:tc>
                <w:tcPr>
                  <w:tcW w:w="1316" w:type="pct"/>
                  <w:gridSpan w:val="1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监测点位数（/）</w:t>
                  </w:r>
                </w:p>
              </w:tc>
              <w:tc>
                <w:tcPr>
                  <w:tcW w:w="666" w:type="pct"/>
                  <w:gridSpan w:val="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无监测</w:t>
                  </w:r>
                  <w:r>
                    <w:rPr>
                      <w:rFonts w:hint="eastAsia" w:ascii="MS Mincho" w:hAnsi="MS Mincho" w:eastAsia="MS Mincho" w:cs="MS Minch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539" w:type="pct"/>
                  <w:vMerge w:val="restar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评价结论</w:t>
                  </w: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环境影响</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可以接受</w:t>
                  </w:r>
                  <w:r>
                    <w:rPr>
                      <w:rFonts w:hint="eastAsia" w:ascii="MS Mincho" w:hAnsi="MS Mincho" w:eastAsia="MS Mincho" w:cs="MS Mincho"/>
                      <w:sz w:val="18"/>
                      <w:szCs w:val="18"/>
                    </w:rPr>
                    <w:t>☑</w:t>
                  </w:r>
                  <w:r>
                    <w:rPr>
                      <w:rFonts w:hint="eastAsia" w:eastAsia="宋体" w:cs="Calibri"/>
                      <w:sz w:val="18"/>
                      <w:szCs w:val="18"/>
                    </w:rPr>
                    <w:t>不可以接受□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大气环境防护距离</w:t>
                  </w:r>
                </w:p>
              </w:tc>
              <w:tc>
                <w:tcPr>
                  <w:tcW w:w="3528" w:type="pct"/>
                  <w:gridSpan w:val="20"/>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距（/）厂界最远（/）</w:t>
                  </w:r>
                  <w:r>
                    <w:rPr>
                      <w:rFonts w:eastAsia="宋体" w:cs="Calibri"/>
                      <w:sz w:val="18"/>
                      <w:szCs w:val="18"/>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jc w:val="center"/>
              </w:trPr>
              <w:tc>
                <w:tcPr>
                  <w:tcW w:w="539" w:type="pct"/>
                  <w:vMerge w:val="continue"/>
                  <w:shd w:val="clear" w:color="auto" w:fill="auto"/>
                  <w:vAlign w:val="center"/>
                </w:tcPr>
                <w:p>
                  <w:pPr>
                    <w:widowControl w:val="0"/>
                    <w:adjustRightInd w:val="0"/>
                    <w:snapToGrid w:val="0"/>
                    <w:spacing w:line="240" w:lineRule="auto"/>
                    <w:jc w:val="center"/>
                    <w:rPr>
                      <w:rFonts w:eastAsia="宋体" w:cs="Calibri"/>
                      <w:sz w:val="18"/>
                      <w:szCs w:val="18"/>
                    </w:rPr>
                  </w:pPr>
                </w:p>
              </w:tc>
              <w:tc>
                <w:tcPr>
                  <w:tcW w:w="933" w:type="pct"/>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污染源年排放量</w:t>
                  </w:r>
                </w:p>
              </w:tc>
              <w:tc>
                <w:tcPr>
                  <w:tcW w:w="793" w:type="pct"/>
                  <w:gridSpan w:val="3"/>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SO</w:t>
                  </w:r>
                  <w:r>
                    <w:rPr>
                      <w:rFonts w:eastAsia="宋体" w:cs="Calibri"/>
                      <w:sz w:val="18"/>
                      <w:szCs w:val="18"/>
                      <w:vertAlign w:val="subscript"/>
                    </w:rPr>
                    <w:t>2</w:t>
                  </w:r>
                  <w:r>
                    <w:rPr>
                      <w:rFonts w:eastAsia="宋体" w:cs="Calibri"/>
                      <w:sz w:val="18"/>
                      <w:szCs w:val="18"/>
                    </w:rPr>
                    <w:t>:</w:t>
                  </w:r>
                  <w:r>
                    <w:rPr>
                      <w:rFonts w:hint="eastAsia" w:eastAsia="宋体" w:cs="Calibri"/>
                      <w:sz w:val="18"/>
                      <w:szCs w:val="18"/>
                    </w:rPr>
                    <w:t>（/）</w:t>
                  </w:r>
                  <w:r>
                    <w:rPr>
                      <w:rFonts w:eastAsia="宋体" w:cs="Calibri"/>
                      <w:sz w:val="18"/>
                      <w:szCs w:val="18"/>
                    </w:rPr>
                    <w:t>t/a</w:t>
                  </w:r>
                </w:p>
              </w:tc>
              <w:tc>
                <w:tcPr>
                  <w:tcW w:w="785"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NOx:</w:t>
                  </w:r>
                  <w:r>
                    <w:rPr>
                      <w:rFonts w:hint="eastAsia" w:eastAsia="宋体" w:cs="Calibri"/>
                      <w:sz w:val="18"/>
                      <w:szCs w:val="18"/>
                    </w:rPr>
                    <w:t>（/）</w:t>
                  </w:r>
                  <w:r>
                    <w:rPr>
                      <w:rFonts w:eastAsia="宋体" w:cs="Calibri"/>
                      <w:sz w:val="18"/>
                      <w:szCs w:val="18"/>
                    </w:rPr>
                    <w:t>t/a</w:t>
                  </w:r>
                </w:p>
              </w:tc>
              <w:tc>
                <w:tcPr>
                  <w:tcW w:w="940" w:type="pct"/>
                  <w:gridSpan w:val="6"/>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颗粒物</w:t>
                  </w:r>
                  <w:r>
                    <w:rPr>
                      <w:rFonts w:eastAsia="宋体" w:cs="Calibri"/>
                      <w:sz w:val="18"/>
                      <w:szCs w:val="18"/>
                    </w:rPr>
                    <w:t>:</w:t>
                  </w:r>
                  <w:r>
                    <w:rPr>
                      <w:rFonts w:hint="eastAsia" w:eastAsia="宋体" w:cs="Calibri"/>
                      <w:sz w:val="18"/>
                      <w:szCs w:val="18"/>
                    </w:rPr>
                    <w:t>（/）</w:t>
                  </w:r>
                  <w:r>
                    <w:rPr>
                      <w:rFonts w:eastAsia="宋体" w:cs="Calibri"/>
                      <w:sz w:val="18"/>
                      <w:szCs w:val="18"/>
                    </w:rPr>
                    <w:t>t/a</w:t>
                  </w:r>
                </w:p>
              </w:tc>
              <w:tc>
                <w:tcPr>
                  <w:tcW w:w="1009" w:type="pct"/>
                  <w:gridSpan w:val="5"/>
                  <w:shd w:val="clear" w:color="auto" w:fill="auto"/>
                  <w:vAlign w:val="center"/>
                </w:tcPr>
                <w:p>
                  <w:pPr>
                    <w:widowControl w:val="0"/>
                    <w:adjustRightInd w:val="0"/>
                    <w:snapToGrid w:val="0"/>
                    <w:spacing w:line="240" w:lineRule="auto"/>
                    <w:jc w:val="center"/>
                    <w:rPr>
                      <w:rFonts w:eastAsia="宋体" w:cs="Calibri"/>
                      <w:sz w:val="18"/>
                      <w:szCs w:val="18"/>
                    </w:rPr>
                  </w:pPr>
                  <w:r>
                    <w:rPr>
                      <w:rFonts w:eastAsia="宋体" w:cs="Calibri"/>
                      <w:sz w:val="18"/>
                      <w:szCs w:val="18"/>
                    </w:rPr>
                    <w:t>VOCs:</w:t>
                  </w:r>
                  <w:r>
                    <w:rPr>
                      <w:rFonts w:hint="eastAsia" w:eastAsia="宋体" w:cs="Calibri"/>
                      <w:sz w:val="18"/>
                      <w:szCs w:val="18"/>
                    </w:rPr>
                    <w:t>（1.349）</w:t>
                  </w:r>
                  <w:r>
                    <w:rPr>
                      <w:rFonts w:eastAsia="宋体" w:cs="Calibri"/>
                      <w:sz w:val="18"/>
                      <w:szCs w:val="18"/>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000" w:type="pct"/>
                  <w:gridSpan w:val="22"/>
                  <w:shd w:val="clear" w:color="auto" w:fill="auto"/>
                  <w:vAlign w:val="center"/>
                </w:tcPr>
                <w:p>
                  <w:pPr>
                    <w:widowControl w:val="0"/>
                    <w:adjustRightInd w:val="0"/>
                    <w:snapToGrid w:val="0"/>
                    <w:spacing w:line="240" w:lineRule="auto"/>
                    <w:jc w:val="center"/>
                    <w:rPr>
                      <w:rFonts w:eastAsia="宋体" w:cs="Calibri"/>
                      <w:sz w:val="18"/>
                      <w:szCs w:val="18"/>
                    </w:rPr>
                  </w:pPr>
                  <w:r>
                    <w:rPr>
                      <w:rFonts w:hint="eastAsia" w:eastAsia="宋体" w:cs="Calibri"/>
                      <w:sz w:val="18"/>
                      <w:szCs w:val="18"/>
                    </w:rPr>
                    <w:t>注：“□”为勾选项，填“√”；</w:t>
                  </w:r>
                  <w:r>
                    <w:rPr>
                      <w:rFonts w:eastAsia="宋体" w:cs="Calibri"/>
                      <w:sz w:val="18"/>
                      <w:szCs w:val="18"/>
                    </w:rPr>
                    <w:t>“</w:t>
                  </w:r>
                  <w:r>
                    <w:rPr>
                      <w:rFonts w:hint="eastAsia" w:eastAsia="宋体" w:cs="Calibri"/>
                      <w:sz w:val="18"/>
                      <w:szCs w:val="18"/>
                    </w:rPr>
                    <w:t>（）</w:t>
                  </w:r>
                  <w:r>
                    <w:rPr>
                      <w:rFonts w:eastAsia="宋体" w:cs="Calibri"/>
                      <w:sz w:val="18"/>
                      <w:szCs w:val="18"/>
                    </w:rPr>
                    <w:t xml:space="preserve">” </w:t>
                  </w:r>
                  <w:r>
                    <w:rPr>
                      <w:rFonts w:hint="eastAsia" w:eastAsia="宋体" w:cs="Calibri"/>
                      <w:sz w:val="18"/>
                      <w:szCs w:val="18"/>
                    </w:rPr>
                    <w:t>为内容填写项</w:t>
                  </w:r>
                </w:p>
              </w:tc>
            </w:tr>
          </w:tbl>
          <w:p>
            <w:pPr>
              <w:widowControl w:val="0"/>
              <w:snapToGrid w:val="0"/>
              <w:ind w:firstLine="600" w:firstLineChars="250"/>
              <w:jc w:val="both"/>
              <w:rPr>
                <w:rFonts w:eastAsia="宋体"/>
                <w:sz w:val="24"/>
                <w:szCs w:val="24"/>
              </w:rPr>
            </w:pPr>
            <w:r>
              <w:rPr>
                <w:rFonts w:hint="eastAsia" w:eastAsia="宋体"/>
                <w:sz w:val="24"/>
                <w:szCs w:val="24"/>
              </w:rPr>
              <w:t>综上所述，本项目大气环境评价工作等级为二级，项目属于非达标区，污染源下风向最大落地浓度占标率较小，无超标区域，无需设置大气环境防护距离，污染物年排放量为非甲烷总烃1.349t/a。建设项目大气环境影响可接受。</w:t>
            </w:r>
          </w:p>
          <w:p>
            <w:pPr>
              <w:ind w:firstLine="482" w:firstLineChars="200"/>
              <w:rPr>
                <w:rFonts w:eastAsia="宋体"/>
                <w:b/>
                <w:sz w:val="24"/>
                <w:szCs w:val="24"/>
              </w:rPr>
            </w:pPr>
            <w:r>
              <w:rPr>
                <w:rFonts w:hint="eastAsia" w:eastAsia="宋体"/>
                <w:b/>
                <w:sz w:val="24"/>
                <w:szCs w:val="24"/>
              </w:rPr>
              <w:t>7.2.2</w:t>
            </w:r>
            <w:r>
              <w:rPr>
                <w:rFonts w:eastAsia="宋体"/>
                <w:b/>
                <w:sz w:val="24"/>
                <w:szCs w:val="24"/>
              </w:rPr>
              <w:t>水环境影响分析</w:t>
            </w:r>
          </w:p>
          <w:p>
            <w:pPr>
              <w:spacing w:line="500" w:lineRule="exact"/>
              <w:ind w:firstLine="492" w:firstLineChars="200"/>
              <w:jc w:val="both"/>
              <w:rPr>
                <w:rFonts w:eastAsia="宋体"/>
                <w:spacing w:val="20"/>
                <w:kern w:val="0"/>
                <w:sz w:val="24"/>
                <w:szCs w:val="24"/>
              </w:rPr>
            </w:pPr>
            <w:r>
              <w:rPr>
                <w:rFonts w:eastAsia="宋体"/>
                <w:color w:val="000000"/>
                <w:spacing w:val="3"/>
                <w:kern w:val="0"/>
                <w:sz w:val="24"/>
                <w:szCs w:val="24"/>
              </w:rPr>
              <w:t>项目废水为生活污水</w:t>
            </w:r>
            <w:r>
              <w:rPr>
                <w:rFonts w:eastAsia="宋体"/>
                <w:kern w:val="0"/>
                <w:sz w:val="24"/>
                <w:szCs w:val="24"/>
              </w:rPr>
              <w:t>。项目</w:t>
            </w:r>
            <w:r>
              <w:rPr>
                <w:rFonts w:eastAsia="宋体"/>
                <w:kern w:val="0"/>
                <w:sz w:val="24"/>
              </w:rPr>
              <w:t>生活污水经化粪池处理后</w:t>
            </w:r>
            <w:r>
              <w:rPr>
                <w:rFonts w:eastAsiaTheme="minorEastAsia"/>
                <w:kern w:val="0"/>
                <w:sz w:val="24"/>
                <w:szCs w:val="24"/>
              </w:rPr>
              <w:t>达到沭阳</w:t>
            </w:r>
            <w:r>
              <w:rPr>
                <w:rFonts w:hint="eastAsia" w:eastAsiaTheme="minorEastAsia"/>
                <w:kern w:val="0"/>
                <w:sz w:val="24"/>
                <w:szCs w:val="24"/>
              </w:rPr>
              <w:t>县城东污水处理厂</w:t>
            </w:r>
            <w:r>
              <w:rPr>
                <w:rFonts w:eastAsiaTheme="minorEastAsia"/>
                <w:kern w:val="0"/>
                <w:sz w:val="24"/>
                <w:szCs w:val="24"/>
              </w:rPr>
              <w:t>接管标准后，排入市政污水管网，由沭阳</w:t>
            </w:r>
            <w:r>
              <w:rPr>
                <w:rFonts w:hint="eastAsia" w:eastAsiaTheme="minorEastAsia"/>
                <w:kern w:val="0"/>
                <w:sz w:val="24"/>
                <w:szCs w:val="24"/>
              </w:rPr>
              <w:t>县城东污水处理厂</w:t>
            </w:r>
            <w:r>
              <w:rPr>
                <w:rFonts w:eastAsiaTheme="minorEastAsia"/>
                <w:kern w:val="0"/>
                <w:sz w:val="24"/>
                <w:szCs w:val="24"/>
              </w:rPr>
              <w:t>统一处理后排放。</w:t>
            </w:r>
            <w:r>
              <w:rPr>
                <w:rFonts w:eastAsia="宋体"/>
                <w:kern w:val="0"/>
                <w:sz w:val="24"/>
                <w:szCs w:val="24"/>
              </w:rPr>
              <w:t>排放水量为</w:t>
            </w:r>
            <w:r>
              <w:rPr>
                <w:rFonts w:hint="eastAsia" w:eastAsia="宋体"/>
                <w:kern w:val="0"/>
                <w:sz w:val="24"/>
                <w:szCs w:val="24"/>
              </w:rPr>
              <w:t>759.2</w:t>
            </w:r>
            <w:r>
              <w:rPr>
                <w:rFonts w:eastAsia="宋体"/>
                <w:spacing w:val="3"/>
                <w:kern w:val="0"/>
                <w:sz w:val="24"/>
                <w:szCs w:val="24"/>
              </w:rPr>
              <w:t>m</w:t>
            </w:r>
            <w:r>
              <w:rPr>
                <w:rFonts w:eastAsia="宋体"/>
                <w:spacing w:val="3"/>
                <w:kern w:val="0"/>
                <w:sz w:val="24"/>
                <w:szCs w:val="24"/>
                <w:vertAlign w:val="superscript"/>
              </w:rPr>
              <w:t>3</w:t>
            </w:r>
            <w:r>
              <w:rPr>
                <w:rFonts w:eastAsia="宋体"/>
                <w:spacing w:val="3"/>
                <w:kern w:val="0"/>
                <w:sz w:val="24"/>
                <w:szCs w:val="24"/>
              </w:rPr>
              <w:t>/a，</w:t>
            </w:r>
            <w:r>
              <w:rPr>
                <w:rFonts w:eastAsia="宋体"/>
                <w:kern w:val="0"/>
                <w:sz w:val="24"/>
                <w:szCs w:val="24"/>
              </w:rPr>
              <w:t>污染物浓度分别为</w:t>
            </w:r>
            <w:r>
              <w:rPr>
                <w:rFonts w:eastAsia="宋体"/>
                <w:spacing w:val="20"/>
                <w:kern w:val="0"/>
                <w:sz w:val="24"/>
                <w:szCs w:val="24"/>
              </w:rPr>
              <w:t>COD</w:t>
            </w:r>
            <w:r>
              <w:rPr>
                <w:rFonts w:hint="eastAsia" w:eastAsia="宋体"/>
                <w:spacing w:val="20"/>
                <w:kern w:val="0"/>
                <w:sz w:val="24"/>
                <w:szCs w:val="24"/>
              </w:rPr>
              <w:t>30</w:t>
            </w:r>
            <w:r>
              <w:rPr>
                <w:rFonts w:eastAsia="宋体"/>
                <w:spacing w:val="20"/>
                <w:kern w:val="0"/>
                <w:sz w:val="24"/>
                <w:szCs w:val="24"/>
              </w:rPr>
              <w:t>0mg/L、SS2</w:t>
            </w:r>
            <w:r>
              <w:rPr>
                <w:rFonts w:hint="eastAsia" w:eastAsia="宋体"/>
                <w:spacing w:val="20"/>
                <w:kern w:val="0"/>
                <w:sz w:val="24"/>
                <w:szCs w:val="24"/>
              </w:rPr>
              <w:t>0</w:t>
            </w:r>
            <w:r>
              <w:rPr>
                <w:rFonts w:eastAsia="宋体"/>
                <w:spacing w:val="20"/>
                <w:kern w:val="0"/>
                <w:sz w:val="24"/>
                <w:szCs w:val="24"/>
              </w:rPr>
              <w:t>0mg/L、</w:t>
            </w:r>
            <w:r>
              <w:rPr>
                <w:rFonts w:eastAsia="宋体"/>
                <w:bCs/>
                <w:kern w:val="0"/>
                <w:sz w:val="24"/>
                <w:szCs w:val="24"/>
              </w:rPr>
              <w:t>氨氮25</w:t>
            </w:r>
            <w:r>
              <w:rPr>
                <w:rFonts w:eastAsia="宋体"/>
                <w:spacing w:val="20"/>
                <w:kern w:val="0"/>
                <w:sz w:val="24"/>
                <w:szCs w:val="24"/>
              </w:rPr>
              <w:t>mg/L、</w:t>
            </w:r>
            <w:r>
              <w:rPr>
                <w:rFonts w:eastAsia="宋体"/>
                <w:bCs/>
                <w:kern w:val="0"/>
                <w:sz w:val="24"/>
                <w:szCs w:val="24"/>
              </w:rPr>
              <w:t>TP3</w:t>
            </w:r>
            <w:r>
              <w:rPr>
                <w:rFonts w:eastAsia="宋体"/>
                <w:spacing w:val="20"/>
                <w:kern w:val="0"/>
                <w:sz w:val="24"/>
                <w:szCs w:val="24"/>
              </w:rPr>
              <w:t>mg/L</w:t>
            </w:r>
            <w:r>
              <w:rPr>
                <w:rFonts w:hint="eastAsia" w:eastAsia="宋体"/>
                <w:spacing w:val="20"/>
                <w:kern w:val="0"/>
                <w:sz w:val="24"/>
                <w:szCs w:val="24"/>
              </w:rPr>
              <w:t>、TN45</w:t>
            </w:r>
            <w:r>
              <w:rPr>
                <w:rFonts w:eastAsia="宋体"/>
                <w:spacing w:val="20"/>
                <w:kern w:val="0"/>
                <w:sz w:val="24"/>
                <w:szCs w:val="24"/>
              </w:rPr>
              <w:t>mg/L。</w:t>
            </w:r>
          </w:p>
          <w:p>
            <w:pPr>
              <w:spacing w:line="500" w:lineRule="exact"/>
              <w:ind w:firstLine="480" w:firstLineChars="200"/>
              <w:rPr>
                <w:rFonts w:eastAsia="宋体"/>
                <w:kern w:val="0"/>
                <w:sz w:val="24"/>
                <w:szCs w:val="24"/>
              </w:rPr>
            </w:pPr>
            <w:r>
              <w:rPr>
                <w:rFonts w:eastAsia="宋体"/>
                <w:kern w:val="0"/>
                <w:sz w:val="24"/>
                <w:szCs w:val="24"/>
              </w:rPr>
              <w:t>（1）评价等级</w:t>
            </w:r>
          </w:p>
          <w:p>
            <w:pPr>
              <w:spacing w:line="500" w:lineRule="exact"/>
              <w:ind w:firstLine="480" w:firstLineChars="200"/>
              <w:rPr>
                <w:rFonts w:eastAsia="宋体"/>
                <w:kern w:val="0"/>
                <w:sz w:val="24"/>
                <w:szCs w:val="24"/>
              </w:rPr>
            </w:pPr>
            <w:r>
              <w:rPr>
                <w:rFonts w:eastAsia="宋体"/>
                <w:kern w:val="0"/>
                <w:sz w:val="24"/>
                <w:szCs w:val="24"/>
              </w:rPr>
              <w:t>地表水评价等级见表7-</w:t>
            </w:r>
            <w:r>
              <w:rPr>
                <w:rFonts w:hint="eastAsia" w:eastAsia="宋体"/>
                <w:kern w:val="0"/>
                <w:sz w:val="24"/>
                <w:szCs w:val="24"/>
              </w:rPr>
              <w:t>9。</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w:t>
            </w:r>
            <w:r>
              <w:rPr>
                <w:rFonts w:hint="eastAsia" w:eastAsia="宋体"/>
                <w:b/>
                <w:color w:val="000000"/>
                <w:kern w:val="0"/>
                <w:sz w:val="24"/>
                <w:szCs w:val="21"/>
              </w:rPr>
              <w:t>9</w:t>
            </w:r>
            <w:r>
              <w:rPr>
                <w:rFonts w:eastAsia="宋体"/>
                <w:b/>
                <w:color w:val="000000"/>
                <w:kern w:val="0"/>
                <w:sz w:val="24"/>
                <w:szCs w:val="21"/>
              </w:rPr>
              <w:t xml:space="preserve">  地表水评价等级判别表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585"/>
              <w:gridCol w:w="1101"/>
              <w:gridCol w:w="6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Merge w:val="restart"/>
                  <w:vAlign w:val="center"/>
                </w:tcPr>
                <w:p>
                  <w:pPr>
                    <w:spacing w:line="240" w:lineRule="auto"/>
                    <w:jc w:val="center"/>
                    <w:rPr>
                      <w:rFonts w:eastAsia="宋体"/>
                      <w:color w:val="000000"/>
                      <w:kern w:val="0"/>
                      <w:sz w:val="21"/>
                      <w:szCs w:val="21"/>
                    </w:rPr>
                  </w:pPr>
                  <w:r>
                    <w:rPr>
                      <w:rFonts w:eastAsia="宋体"/>
                      <w:color w:val="000000"/>
                      <w:kern w:val="0"/>
                      <w:sz w:val="21"/>
                      <w:szCs w:val="21"/>
                    </w:rPr>
                    <w:t>评价工作等级</w:t>
                  </w:r>
                </w:p>
              </w:tc>
              <w:tc>
                <w:tcPr>
                  <w:tcW w:w="7194" w:type="dxa"/>
                  <w:gridSpan w:val="2"/>
                  <w:vAlign w:val="center"/>
                </w:tcPr>
                <w:p>
                  <w:pPr>
                    <w:spacing w:line="240" w:lineRule="auto"/>
                    <w:jc w:val="center"/>
                    <w:rPr>
                      <w:rFonts w:eastAsia="宋体"/>
                      <w:color w:val="000000"/>
                      <w:kern w:val="0"/>
                      <w:sz w:val="21"/>
                      <w:szCs w:val="21"/>
                    </w:rPr>
                  </w:pPr>
                  <w:r>
                    <w:rPr>
                      <w:rFonts w:eastAsia="宋体"/>
                      <w:color w:val="000000"/>
                      <w:kern w:val="0"/>
                      <w:sz w:val="21"/>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Merge w:val="continue"/>
                  <w:vAlign w:val="center"/>
                </w:tcPr>
                <w:p>
                  <w:pPr>
                    <w:spacing w:line="240" w:lineRule="auto"/>
                    <w:jc w:val="center"/>
                    <w:rPr>
                      <w:rFonts w:eastAsia="宋体"/>
                      <w:color w:val="000000"/>
                      <w:kern w:val="0"/>
                      <w:sz w:val="21"/>
                      <w:szCs w:val="21"/>
                    </w:rPr>
                  </w:pP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排放方式</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废水排放量Q/（m</w:t>
                  </w:r>
                  <w:r>
                    <w:rPr>
                      <w:rFonts w:eastAsia="宋体"/>
                      <w:color w:val="000000"/>
                      <w:kern w:val="0"/>
                      <w:sz w:val="21"/>
                      <w:szCs w:val="21"/>
                      <w:vertAlign w:val="superscript"/>
                    </w:rPr>
                    <w:t>3</w:t>
                  </w:r>
                  <w:r>
                    <w:rPr>
                      <w:rFonts w:eastAsia="宋体"/>
                      <w:color w:val="000000"/>
                      <w:kern w:val="0"/>
                      <w:sz w:val="21"/>
                      <w:szCs w:val="21"/>
                    </w:rPr>
                    <w:t>/d）；水污染物当量数W/（无量纲）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一级</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二级</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vAlign w:val="center"/>
                </w:tcPr>
                <w:p>
                  <w:pPr>
                    <w:spacing w:line="240" w:lineRule="auto"/>
                    <w:jc w:val="center"/>
                    <w:rPr>
                      <w:rFonts w:eastAsia="宋体"/>
                      <w:color w:val="000000"/>
                      <w:kern w:val="0"/>
                      <w:sz w:val="21"/>
                      <w:szCs w:val="21"/>
                    </w:rPr>
                  </w:pPr>
                  <w:r>
                    <w:rPr>
                      <w:rFonts w:eastAsia="宋体"/>
                      <w:color w:val="000000"/>
                      <w:kern w:val="0"/>
                      <w:sz w:val="21"/>
                      <w:szCs w:val="21"/>
                    </w:rPr>
                    <w:t>三级A</w:t>
                  </w:r>
                </w:p>
              </w:tc>
              <w:tc>
                <w:tcPr>
                  <w:tcW w:w="1101" w:type="dxa"/>
                  <w:vAlign w:val="center"/>
                </w:tcPr>
                <w:p>
                  <w:pPr>
                    <w:spacing w:line="240" w:lineRule="auto"/>
                    <w:jc w:val="center"/>
                    <w:rPr>
                      <w:rFonts w:eastAsia="宋体"/>
                      <w:color w:val="000000"/>
                      <w:kern w:val="0"/>
                      <w:sz w:val="21"/>
                      <w:szCs w:val="21"/>
                    </w:rPr>
                  </w:pPr>
                  <w:r>
                    <w:rPr>
                      <w:rFonts w:eastAsia="宋体"/>
                      <w:color w:val="000000"/>
                      <w:kern w:val="0"/>
                      <w:sz w:val="21"/>
                      <w:szCs w:val="21"/>
                    </w:rPr>
                    <w:t>直接排放</w:t>
                  </w:r>
                </w:p>
              </w:tc>
              <w:tc>
                <w:tcPr>
                  <w:tcW w:w="6093" w:type="dxa"/>
                  <w:vAlign w:val="center"/>
                </w:tcPr>
                <w:p>
                  <w:pPr>
                    <w:spacing w:line="240" w:lineRule="auto"/>
                    <w:jc w:val="center"/>
                    <w:rPr>
                      <w:rFonts w:eastAsia="宋体"/>
                      <w:color w:val="000000"/>
                      <w:kern w:val="0"/>
                      <w:sz w:val="21"/>
                      <w:szCs w:val="21"/>
                    </w:rPr>
                  </w:pPr>
                  <w:r>
                    <w:rPr>
                      <w:rFonts w:eastAsia="宋体"/>
                      <w:color w:val="000000"/>
                      <w:kern w:val="0"/>
                      <w:sz w:val="21"/>
                      <w:szCs w:val="21"/>
                    </w:rPr>
                    <w:t>Q&lt;200且W&lt;6000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585"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三级B</w:t>
                  </w:r>
                </w:p>
              </w:tc>
              <w:tc>
                <w:tcPr>
                  <w:tcW w:w="1101"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间接排放</w:t>
                  </w:r>
                </w:p>
              </w:tc>
              <w:tc>
                <w:tcPr>
                  <w:tcW w:w="6093" w:type="dxa"/>
                  <w:shd w:val="clear" w:color="auto" w:fill="F2F2F2"/>
                  <w:vAlign w:val="center"/>
                </w:tcPr>
                <w:p>
                  <w:pPr>
                    <w:spacing w:line="240" w:lineRule="auto"/>
                    <w:jc w:val="center"/>
                    <w:rPr>
                      <w:rFonts w:eastAsia="宋体"/>
                      <w:color w:val="000000"/>
                      <w:kern w:val="0"/>
                      <w:sz w:val="21"/>
                      <w:szCs w:val="21"/>
                    </w:rPr>
                  </w:pPr>
                  <w:r>
                    <w:rPr>
                      <w:rFonts w:eastAsia="宋体"/>
                      <w:color w:val="000000"/>
                      <w:kern w:val="0"/>
                      <w:sz w:val="21"/>
                      <w:szCs w:val="21"/>
                    </w:rPr>
                    <w:t>—</w:t>
                  </w:r>
                </w:p>
              </w:tc>
            </w:tr>
          </w:tbl>
          <w:p>
            <w:pPr>
              <w:spacing w:line="500" w:lineRule="exact"/>
              <w:ind w:firstLine="480" w:firstLineChars="200"/>
              <w:rPr>
                <w:rFonts w:eastAsia="宋体"/>
                <w:color w:val="000000"/>
                <w:kern w:val="0"/>
                <w:sz w:val="24"/>
                <w:szCs w:val="24"/>
              </w:rPr>
            </w:pPr>
            <w:r>
              <w:rPr>
                <w:rFonts w:eastAsia="宋体"/>
                <w:color w:val="000000"/>
                <w:kern w:val="0"/>
                <w:sz w:val="24"/>
                <w:szCs w:val="24"/>
              </w:rPr>
              <w:t>根据《环境影响评价技术导则 地表水环境》（HJ 2.3-2018）分级判据，确定本项目地表水环境影响评价工作等级为三级B。因此无需进行进一步预测与评价，只需对污染物排放量及相关信息进行核算。</w:t>
            </w:r>
          </w:p>
          <w:p>
            <w:pPr>
              <w:spacing w:line="500" w:lineRule="exact"/>
              <w:ind w:firstLine="480" w:firstLineChars="200"/>
              <w:rPr>
                <w:rFonts w:eastAsia="宋体"/>
                <w:color w:val="000000"/>
                <w:kern w:val="0"/>
                <w:sz w:val="24"/>
                <w:szCs w:val="24"/>
              </w:rPr>
            </w:pPr>
            <w:r>
              <w:rPr>
                <w:rFonts w:eastAsia="宋体"/>
                <w:color w:val="000000"/>
                <w:kern w:val="0"/>
                <w:sz w:val="24"/>
                <w:szCs w:val="24"/>
              </w:rPr>
              <w:t>（2）废水类别、污染物及污染治理设施信息</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0</w:t>
            </w:r>
            <w:r>
              <w:rPr>
                <w:rFonts w:eastAsia="宋体"/>
                <w:b/>
                <w:color w:val="000000"/>
                <w:kern w:val="0"/>
                <w:sz w:val="24"/>
                <w:szCs w:val="21"/>
              </w:rPr>
              <w:t xml:space="preserve"> 废水类别、污染物及污染治理设施信息表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382"/>
              <w:gridCol w:w="582"/>
              <w:gridCol w:w="655"/>
              <w:gridCol w:w="786"/>
              <w:gridCol w:w="1980"/>
              <w:gridCol w:w="716"/>
              <w:gridCol w:w="794"/>
              <w:gridCol w:w="716"/>
              <w:gridCol w:w="938"/>
              <w:gridCol w:w="846"/>
              <w:gridCol w:w="6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序号</w:t>
                  </w:r>
                </w:p>
              </w:tc>
              <w:tc>
                <w:tcPr>
                  <w:tcW w:w="582"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废水类别(a)</w:t>
                  </w:r>
                </w:p>
              </w:tc>
              <w:tc>
                <w:tcPr>
                  <w:tcW w:w="655"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污染物种类(b)</w:t>
                  </w:r>
                </w:p>
              </w:tc>
              <w:tc>
                <w:tcPr>
                  <w:tcW w:w="786"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排放去向(c)</w:t>
                  </w:r>
                </w:p>
              </w:tc>
              <w:tc>
                <w:tcPr>
                  <w:tcW w:w="1980"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排放规律</w:t>
                  </w:r>
                </w:p>
                <w:p>
                  <w:pPr>
                    <w:widowControl w:val="0"/>
                    <w:spacing w:line="240" w:lineRule="auto"/>
                    <w:jc w:val="center"/>
                    <w:rPr>
                      <w:rFonts w:eastAsia="宋体"/>
                      <w:b/>
                      <w:color w:val="000000"/>
                      <w:sz w:val="21"/>
                      <w:szCs w:val="21"/>
                    </w:rPr>
                  </w:pPr>
                  <w:r>
                    <w:rPr>
                      <w:rFonts w:eastAsia="宋体"/>
                      <w:b/>
                      <w:color w:val="000000"/>
                      <w:sz w:val="21"/>
                      <w:szCs w:val="21"/>
                    </w:rPr>
                    <w:t>(d)</w:t>
                  </w:r>
                </w:p>
              </w:tc>
              <w:tc>
                <w:tcPr>
                  <w:tcW w:w="2226" w:type="dxa"/>
                  <w:gridSpan w:val="3"/>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w:t>
                  </w:r>
                </w:p>
              </w:tc>
              <w:tc>
                <w:tcPr>
                  <w:tcW w:w="938"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排放口编号(f)</w:t>
                  </w:r>
                </w:p>
              </w:tc>
              <w:tc>
                <w:tcPr>
                  <w:tcW w:w="846"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排放口设置是否满足要求(g)</w:t>
                  </w:r>
                </w:p>
              </w:tc>
              <w:tc>
                <w:tcPr>
                  <w:tcW w:w="675" w:type="dxa"/>
                  <w:vMerge w:val="restart"/>
                  <w:vAlign w:val="center"/>
                </w:tcPr>
                <w:p>
                  <w:pPr>
                    <w:widowControl w:val="0"/>
                    <w:spacing w:line="240" w:lineRule="auto"/>
                    <w:jc w:val="center"/>
                    <w:rPr>
                      <w:rFonts w:eastAsia="宋体"/>
                      <w:b/>
                      <w:color w:val="000000"/>
                      <w:sz w:val="21"/>
                      <w:szCs w:val="21"/>
                    </w:rPr>
                  </w:pPr>
                  <w:r>
                    <w:rPr>
                      <w:rFonts w:eastAsia="宋体"/>
                      <w:b/>
                      <w:color w:val="000000"/>
                      <w:sz w:val="21"/>
                      <w:szCs w:val="21"/>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Merge w:val="continue"/>
                  <w:vAlign w:val="center"/>
                </w:tcPr>
                <w:p>
                  <w:pPr>
                    <w:widowControl w:val="0"/>
                    <w:spacing w:line="240" w:lineRule="auto"/>
                    <w:jc w:val="center"/>
                    <w:rPr>
                      <w:rFonts w:eastAsia="宋体"/>
                      <w:b/>
                      <w:color w:val="000000"/>
                      <w:sz w:val="21"/>
                      <w:szCs w:val="21"/>
                    </w:rPr>
                  </w:pPr>
                </w:p>
              </w:tc>
              <w:tc>
                <w:tcPr>
                  <w:tcW w:w="582" w:type="dxa"/>
                  <w:vMerge w:val="continue"/>
                  <w:vAlign w:val="center"/>
                </w:tcPr>
                <w:p>
                  <w:pPr>
                    <w:widowControl w:val="0"/>
                    <w:spacing w:line="240" w:lineRule="auto"/>
                    <w:jc w:val="center"/>
                    <w:rPr>
                      <w:rFonts w:eastAsia="宋体"/>
                      <w:b/>
                      <w:color w:val="000000"/>
                      <w:sz w:val="21"/>
                      <w:szCs w:val="21"/>
                    </w:rPr>
                  </w:pPr>
                </w:p>
              </w:tc>
              <w:tc>
                <w:tcPr>
                  <w:tcW w:w="655" w:type="dxa"/>
                  <w:vMerge w:val="continue"/>
                  <w:vAlign w:val="center"/>
                </w:tcPr>
                <w:p>
                  <w:pPr>
                    <w:widowControl w:val="0"/>
                    <w:spacing w:line="240" w:lineRule="auto"/>
                    <w:jc w:val="center"/>
                    <w:rPr>
                      <w:rFonts w:eastAsia="宋体"/>
                      <w:b/>
                      <w:color w:val="000000"/>
                      <w:sz w:val="21"/>
                      <w:szCs w:val="21"/>
                    </w:rPr>
                  </w:pPr>
                </w:p>
              </w:tc>
              <w:tc>
                <w:tcPr>
                  <w:tcW w:w="786" w:type="dxa"/>
                  <w:vMerge w:val="continue"/>
                  <w:vAlign w:val="center"/>
                </w:tcPr>
                <w:p>
                  <w:pPr>
                    <w:widowControl w:val="0"/>
                    <w:spacing w:line="240" w:lineRule="auto"/>
                    <w:jc w:val="center"/>
                    <w:rPr>
                      <w:rFonts w:eastAsia="宋体"/>
                      <w:b/>
                      <w:color w:val="000000"/>
                      <w:sz w:val="21"/>
                      <w:szCs w:val="21"/>
                    </w:rPr>
                  </w:pPr>
                </w:p>
              </w:tc>
              <w:tc>
                <w:tcPr>
                  <w:tcW w:w="1980" w:type="dxa"/>
                  <w:vMerge w:val="continue"/>
                  <w:vAlign w:val="center"/>
                </w:tcPr>
                <w:p>
                  <w:pPr>
                    <w:widowControl w:val="0"/>
                    <w:spacing w:line="240" w:lineRule="auto"/>
                    <w:jc w:val="center"/>
                    <w:rPr>
                      <w:rFonts w:eastAsia="宋体"/>
                      <w:b/>
                      <w:color w:val="000000"/>
                      <w:sz w:val="21"/>
                      <w:szCs w:val="21"/>
                    </w:rPr>
                  </w:pPr>
                </w:p>
              </w:tc>
              <w:tc>
                <w:tcPr>
                  <w:tcW w:w="716"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污染治理设施编号</w:t>
                  </w:r>
                </w:p>
              </w:tc>
              <w:tc>
                <w:tcPr>
                  <w:tcW w:w="794"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污染治理设施名称(e)</w:t>
                  </w:r>
                </w:p>
              </w:tc>
              <w:tc>
                <w:tcPr>
                  <w:tcW w:w="716" w:type="dxa"/>
                  <w:vAlign w:val="center"/>
                </w:tcPr>
                <w:p>
                  <w:pPr>
                    <w:widowControl w:val="0"/>
                    <w:spacing w:line="240" w:lineRule="auto"/>
                    <w:jc w:val="center"/>
                    <w:rPr>
                      <w:rFonts w:eastAsia="宋体"/>
                      <w:b/>
                      <w:color w:val="000000"/>
                      <w:sz w:val="21"/>
                      <w:szCs w:val="21"/>
                    </w:rPr>
                  </w:pPr>
                  <w:r>
                    <w:rPr>
                      <w:rFonts w:eastAsia="宋体"/>
                      <w:b/>
                      <w:color w:val="000000"/>
                      <w:sz w:val="21"/>
                      <w:szCs w:val="21"/>
                    </w:rPr>
                    <w:t>污染治理设施工艺</w:t>
                  </w:r>
                </w:p>
              </w:tc>
              <w:tc>
                <w:tcPr>
                  <w:tcW w:w="938" w:type="dxa"/>
                  <w:vMerge w:val="continue"/>
                  <w:vAlign w:val="center"/>
                </w:tcPr>
                <w:p>
                  <w:pPr>
                    <w:widowControl w:val="0"/>
                    <w:spacing w:line="240" w:lineRule="auto"/>
                    <w:jc w:val="center"/>
                    <w:rPr>
                      <w:rFonts w:eastAsia="宋体"/>
                      <w:b/>
                      <w:color w:val="000000"/>
                      <w:sz w:val="21"/>
                      <w:szCs w:val="21"/>
                    </w:rPr>
                  </w:pPr>
                </w:p>
              </w:tc>
              <w:tc>
                <w:tcPr>
                  <w:tcW w:w="846" w:type="dxa"/>
                  <w:vMerge w:val="continue"/>
                  <w:vAlign w:val="center"/>
                </w:tcPr>
                <w:p>
                  <w:pPr>
                    <w:widowControl w:val="0"/>
                    <w:spacing w:line="240" w:lineRule="auto"/>
                    <w:jc w:val="center"/>
                    <w:rPr>
                      <w:rFonts w:eastAsia="宋体"/>
                      <w:b/>
                      <w:color w:val="000000"/>
                      <w:sz w:val="21"/>
                      <w:szCs w:val="21"/>
                    </w:rPr>
                  </w:pPr>
                </w:p>
              </w:tc>
              <w:tc>
                <w:tcPr>
                  <w:tcW w:w="675" w:type="dxa"/>
                  <w:vMerge w:val="continue"/>
                  <w:vAlign w:val="center"/>
                </w:tcPr>
                <w:p>
                  <w:pPr>
                    <w:widowControl w:val="0"/>
                    <w:spacing w:line="240" w:lineRule="auto"/>
                    <w:jc w:val="center"/>
                    <w:rPr>
                      <w:rFonts w:eastAsia="宋体"/>
                      <w:b/>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2" w:type="dxa"/>
                  <w:vAlign w:val="center"/>
                </w:tcPr>
                <w:p>
                  <w:pPr>
                    <w:widowControl w:val="0"/>
                    <w:spacing w:line="240" w:lineRule="auto"/>
                    <w:jc w:val="center"/>
                    <w:rPr>
                      <w:rFonts w:eastAsia="宋体"/>
                      <w:color w:val="000000"/>
                      <w:sz w:val="21"/>
                      <w:szCs w:val="21"/>
                    </w:rPr>
                  </w:pPr>
                  <w:r>
                    <w:rPr>
                      <w:rFonts w:eastAsia="宋体"/>
                      <w:color w:val="000000"/>
                      <w:sz w:val="21"/>
                      <w:szCs w:val="21"/>
                    </w:rPr>
                    <w:t xml:space="preserve">1 </w:t>
                  </w:r>
                </w:p>
              </w:tc>
              <w:tc>
                <w:tcPr>
                  <w:tcW w:w="582" w:type="dxa"/>
                  <w:vAlign w:val="center"/>
                </w:tcPr>
                <w:p>
                  <w:pPr>
                    <w:widowControl w:val="0"/>
                    <w:spacing w:line="240" w:lineRule="auto"/>
                    <w:jc w:val="center"/>
                    <w:rPr>
                      <w:rFonts w:eastAsia="宋体"/>
                      <w:color w:val="000000"/>
                      <w:sz w:val="21"/>
                      <w:szCs w:val="21"/>
                    </w:rPr>
                  </w:pPr>
                  <w:r>
                    <w:rPr>
                      <w:rFonts w:eastAsia="宋体"/>
                      <w:color w:val="000000"/>
                      <w:sz w:val="21"/>
                      <w:szCs w:val="21"/>
                    </w:rPr>
                    <w:t>生活污水</w:t>
                  </w:r>
                </w:p>
              </w:tc>
              <w:tc>
                <w:tcPr>
                  <w:tcW w:w="655"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p>
                  <w:pPr>
                    <w:pStyle w:val="25"/>
                    <w:ind w:firstLine="0" w:firstLineChars="0"/>
                    <w:rPr>
                      <w:rFonts w:eastAsia="宋体"/>
                      <w:color w:val="000000"/>
                      <w:sz w:val="21"/>
                      <w:szCs w:val="21"/>
                    </w:rPr>
                  </w:pPr>
                  <w:r>
                    <w:rPr>
                      <w:rFonts w:hint="eastAsia" w:eastAsia="宋体"/>
                      <w:color w:val="000000"/>
                      <w:sz w:val="21"/>
                      <w:szCs w:val="21"/>
                    </w:rPr>
                    <w:t>总氮</w:t>
                  </w:r>
                </w:p>
              </w:tc>
              <w:tc>
                <w:tcPr>
                  <w:tcW w:w="786" w:type="dxa"/>
                  <w:vAlign w:val="center"/>
                </w:tcPr>
                <w:p>
                  <w:pPr>
                    <w:widowControl w:val="0"/>
                    <w:spacing w:line="240" w:lineRule="auto"/>
                    <w:jc w:val="center"/>
                    <w:rPr>
                      <w:rFonts w:eastAsia="宋体"/>
                      <w:color w:val="000000"/>
                      <w:sz w:val="21"/>
                      <w:szCs w:val="21"/>
                    </w:rPr>
                  </w:pPr>
                  <w:r>
                    <w:rPr>
                      <w:rFonts w:eastAsia="宋体"/>
                      <w:color w:val="000000"/>
                      <w:sz w:val="21"/>
                      <w:szCs w:val="21"/>
                    </w:rPr>
                    <w:t>沭阳</w:t>
                  </w:r>
                  <w:r>
                    <w:rPr>
                      <w:rFonts w:hint="eastAsia" w:eastAsia="宋体"/>
                      <w:color w:val="000000"/>
                      <w:sz w:val="21"/>
                      <w:szCs w:val="21"/>
                    </w:rPr>
                    <w:t>县城东污水处理厂</w:t>
                  </w:r>
                </w:p>
              </w:tc>
              <w:tc>
                <w:tcPr>
                  <w:tcW w:w="1980"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间断排放，排放期间流量不稳定且无规律，但不属于冲击型排放</w:t>
                  </w:r>
                </w:p>
              </w:tc>
              <w:tc>
                <w:tcPr>
                  <w:tcW w:w="716" w:type="dxa"/>
                  <w:vAlign w:val="center"/>
                </w:tcPr>
                <w:p>
                  <w:pPr>
                    <w:widowControl w:val="0"/>
                    <w:spacing w:line="240" w:lineRule="auto"/>
                    <w:jc w:val="center"/>
                    <w:rPr>
                      <w:rFonts w:eastAsia="宋体"/>
                      <w:color w:val="000000"/>
                      <w:sz w:val="21"/>
                      <w:szCs w:val="21"/>
                    </w:rPr>
                  </w:pPr>
                  <w:r>
                    <w:rPr>
                      <w:rFonts w:eastAsia="宋体"/>
                      <w:color w:val="000000"/>
                      <w:sz w:val="21"/>
                      <w:szCs w:val="21"/>
                    </w:rPr>
                    <w:t>—</w:t>
                  </w:r>
                </w:p>
              </w:tc>
              <w:tc>
                <w:tcPr>
                  <w:tcW w:w="794" w:type="dxa"/>
                  <w:vAlign w:val="center"/>
                </w:tcPr>
                <w:p>
                  <w:pPr>
                    <w:widowControl w:val="0"/>
                    <w:spacing w:line="240" w:lineRule="auto"/>
                    <w:jc w:val="center"/>
                    <w:rPr>
                      <w:rFonts w:eastAsia="宋体"/>
                      <w:color w:val="000000"/>
                      <w:sz w:val="21"/>
                      <w:szCs w:val="21"/>
                    </w:rPr>
                  </w:pPr>
                  <w:r>
                    <w:rPr>
                      <w:rFonts w:eastAsia="宋体"/>
                      <w:color w:val="000000"/>
                      <w:sz w:val="21"/>
                      <w:szCs w:val="21"/>
                    </w:rPr>
                    <w:t>生活污水处理系统</w:t>
                  </w:r>
                </w:p>
              </w:tc>
              <w:tc>
                <w:tcPr>
                  <w:tcW w:w="716" w:type="dxa"/>
                  <w:vAlign w:val="center"/>
                </w:tcPr>
                <w:p>
                  <w:pPr>
                    <w:widowControl w:val="0"/>
                    <w:spacing w:line="240" w:lineRule="auto"/>
                    <w:jc w:val="center"/>
                    <w:rPr>
                      <w:rFonts w:eastAsia="宋体"/>
                      <w:color w:val="000000"/>
                      <w:sz w:val="21"/>
                      <w:szCs w:val="21"/>
                    </w:rPr>
                  </w:pPr>
                  <w:r>
                    <w:rPr>
                      <w:rFonts w:eastAsia="宋体"/>
                      <w:color w:val="000000"/>
                      <w:sz w:val="21"/>
                      <w:szCs w:val="21"/>
                    </w:rPr>
                    <w:t>化粪池</w:t>
                  </w:r>
                </w:p>
              </w:tc>
              <w:tc>
                <w:tcPr>
                  <w:tcW w:w="938" w:type="dxa"/>
                  <w:vAlign w:val="center"/>
                </w:tcPr>
                <w:p>
                  <w:pPr>
                    <w:widowControl w:val="0"/>
                    <w:spacing w:line="240" w:lineRule="auto"/>
                    <w:jc w:val="center"/>
                    <w:rPr>
                      <w:rFonts w:eastAsia="宋体"/>
                      <w:color w:val="000000"/>
                      <w:sz w:val="21"/>
                      <w:szCs w:val="21"/>
                    </w:rPr>
                  </w:pPr>
                  <w:r>
                    <w:rPr>
                      <w:rFonts w:hint="eastAsia" w:eastAsia="宋体"/>
                      <w:color w:val="000000"/>
                      <w:sz w:val="21"/>
                      <w:szCs w:val="21"/>
                    </w:rPr>
                    <w:t>DW001</w:t>
                  </w:r>
                </w:p>
              </w:tc>
              <w:tc>
                <w:tcPr>
                  <w:tcW w:w="846" w:type="dxa"/>
                  <w:vAlign w:val="center"/>
                </w:tcPr>
                <w:p>
                  <w:pPr>
                    <w:adjustRightInd w:val="0"/>
                    <w:snapToGrid w:val="0"/>
                    <w:spacing w:line="240" w:lineRule="auto"/>
                    <w:jc w:val="center"/>
                    <w:rPr>
                      <w:rFonts w:eastAsia="宋体"/>
                      <w:kern w:val="0"/>
                      <w:sz w:val="21"/>
                      <w:szCs w:val="21"/>
                    </w:rPr>
                  </w:pPr>
                  <w:r>
                    <w:rPr>
                      <w:rFonts w:eastAsia="宋体"/>
                      <w:kern w:val="0"/>
                      <w:sz w:val="21"/>
                      <w:szCs w:val="21"/>
                    </w:rPr>
                    <w:t>是</w:t>
                  </w:r>
                </w:p>
              </w:tc>
              <w:tc>
                <w:tcPr>
                  <w:tcW w:w="675" w:type="dxa"/>
                  <w:vAlign w:val="center"/>
                </w:tcPr>
                <w:p>
                  <w:pPr>
                    <w:spacing w:line="240" w:lineRule="auto"/>
                    <w:jc w:val="center"/>
                    <w:rPr>
                      <w:rFonts w:eastAsia="宋体"/>
                      <w:kern w:val="0"/>
                      <w:sz w:val="21"/>
                      <w:szCs w:val="21"/>
                    </w:rPr>
                  </w:pPr>
                  <w:r>
                    <w:rPr>
                      <w:rFonts w:eastAsia="宋体"/>
                      <w:kern w:val="0"/>
                      <w:sz w:val="21"/>
                      <w:szCs w:val="21"/>
                    </w:rPr>
                    <w:t>企业总排</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a是指产生废水的工艺、工序，或废水类型的名称。</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b指产生的主要污染物类型，以相应排放标准中确定的污染因子为准。</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c包括不外排；排至场内综合污水处理站；直接排入海域；直接进入江河、湖、库等水环境；进入城市下水道（再入江河、湖、库）；进入城市下水道（再入沿海海域）；进入城市污水处理厂；直接进入污灌农田；进入地渗或蒸发地；进入其他单位；工业废水处理厂；其他（包括回用等）。对于工艺、工序产生的废水，“不外排”指全部在工序内部循环使用，“排至厂内综合污水处理站”指工序废水经处理后排至综合处理站。对于综合污水处理站，“不外排”指全厂废水经处理后全部回用不排放。</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d包括连续排放、流量稳定；连续排放，流量不稳定，但有周期性规律；连续排放，流量不稳定，但有规律，且不属于周期性规律；连续排放，流量不稳定，属于冲击性排放；连续排放，流量不稳定且无规律，但不属于冲击型排放；间断排放，排放期间流量稳定；间断排放，排放期间流量不稳定，但有周期性规律；间断排放，排放期间流量不稳定，但有规律，且不属于非周期性规律；间断排放，排放期间流量不稳定，属于冲击型排放；间断排放，排放期间流量不稳定且无规律，但不属于冲击型排放。</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e指主要污水处理设名称，如“综合污水处理站”“生活污水处理系统”等。</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f排放口编号可按地方环境管理部门现有编号进行填写或由企业根据国家相关编号进行填写。</w:t>
            </w:r>
          </w:p>
          <w:p>
            <w:pPr>
              <w:ind w:firstLine="360" w:firstLineChars="200"/>
              <w:jc w:val="both"/>
              <w:rPr>
                <w:rFonts w:eastAsia="宋体"/>
                <w:color w:val="000000"/>
                <w:kern w:val="0"/>
                <w:sz w:val="24"/>
                <w:szCs w:val="24"/>
              </w:rPr>
            </w:pPr>
            <w:r>
              <w:rPr>
                <w:rFonts w:eastAsia="宋体"/>
                <w:color w:val="000000"/>
                <w:kern w:val="0"/>
                <w:sz w:val="18"/>
                <w:szCs w:val="18"/>
              </w:rPr>
              <w:t>g指排放口设置是否符合排放口规范化整治技术要求等相关文件的规定。</w:t>
            </w:r>
          </w:p>
          <w:p>
            <w:pPr>
              <w:spacing w:line="500" w:lineRule="exact"/>
              <w:ind w:firstLine="480" w:firstLineChars="200"/>
              <w:rPr>
                <w:rFonts w:eastAsia="宋体"/>
                <w:color w:val="000000"/>
                <w:kern w:val="0"/>
                <w:sz w:val="24"/>
                <w:szCs w:val="24"/>
              </w:rPr>
            </w:pPr>
            <w:r>
              <w:rPr>
                <w:rFonts w:eastAsia="宋体"/>
                <w:color w:val="000000"/>
                <w:kern w:val="0"/>
                <w:sz w:val="24"/>
                <w:szCs w:val="24"/>
              </w:rPr>
              <w:t>（3）废水排放口基本情况</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1</w:t>
            </w:r>
            <w:r>
              <w:rPr>
                <w:rFonts w:eastAsia="宋体"/>
                <w:b/>
                <w:color w:val="000000"/>
                <w:kern w:val="0"/>
                <w:sz w:val="24"/>
                <w:szCs w:val="21"/>
              </w:rPr>
              <w:t xml:space="preserve">  废水间接排放口基本情况表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26"/>
              <w:gridCol w:w="850"/>
              <w:gridCol w:w="1134"/>
              <w:gridCol w:w="851"/>
              <w:gridCol w:w="850"/>
              <w:gridCol w:w="567"/>
              <w:gridCol w:w="851"/>
              <w:gridCol w:w="850"/>
              <w:gridCol w:w="851"/>
              <w:gridCol w:w="18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426"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850"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排放口编号</w:t>
                  </w: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排放口地理坐标(a)</w:t>
                  </w:r>
                </w:p>
              </w:tc>
              <w:tc>
                <w:tcPr>
                  <w:tcW w:w="851"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废水排放量/</w:t>
                  </w:r>
                </w:p>
                <w:p>
                  <w:pPr>
                    <w:widowControl w:val="0"/>
                    <w:adjustRightInd w:val="0"/>
                    <w:snapToGrid w:val="0"/>
                    <w:spacing w:line="240" w:lineRule="auto"/>
                    <w:jc w:val="center"/>
                    <w:rPr>
                      <w:rFonts w:eastAsia="宋体" w:cs="Calibri"/>
                      <w:b/>
                      <w:sz w:val="21"/>
                      <w:szCs w:val="21"/>
                    </w:rPr>
                  </w:pPr>
                  <w:r>
                    <w:rPr>
                      <w:rFonts w:eastAsia="宋体" w:cs="Calibri"/>
                      <w:b/>
                      <w:sz w:val="21"/>
                      <w:szCs w:val="21"/>
                    </w:rPr>
                    <w:t>（万t/a）</w:t>
                  </w:r>
                </w:p>
              </w:tc>
              <w:tc>
                <w:tcPr>
                  <w:tcW w:w="850"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排放去向</w:t>
                  </w:r>
                </w:p>
              </w:tc>
              <w:tc>
                <w:tcPr>
                  <w:tcW w:w="567"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排放规律</w:t>
                  </w:r>
                </w:p>
              </w:tc>
              <w:tc>
                <w:tcPr>
                  <w:tcW w:w="851" w:type="dxa"/>
                  <w:vMerge w:val="restart"/>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间歇排</w:t>
                  </w:r>
                </w:p>
                <w:p>
                  <w:pPr>
                    <w:widowControl w:val="0"/>
                    <w:adjustRightInd w:val="0"/>
                    <w:snapToGrid w:val="0"/>
                    <w:spacing w:line="240" w:lineRule="auto"/>
                    <w:jc w:val="center"/>
                    <w:rPr>
                      <w:rFonts w:eastAsia="宋体" w:cs="Calibri"/>
                      <w:b/>
                      <w:sz w:val="21"/>
                      <w:szCs w:val="21"/>
                    </w:rPr>
                  </w:pPr>
                  <w:r>
                    <w:rPr>
                      <w:rFonts w:eastAsia="宋体" w:cs="Calibri"/>
                      <w:b/>
                      <w:sz w:val="21"/>
                      <w:szCs w:val="21"/>
                    </w:rPr>
                    <w:t>放时段</w:t>
                  </w:r>
                </w:p>
              </w:tc>
              <w:tc>
                <w:tcPr>
                  <w:tcW w:w="3541" w:type="dxa"/>
                  <w:gridSpan w:val="3"/>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87" w:hRule="atLeast"/>
                <w:jc w:val="center"/>
              </w:trPr>
              <w:tc>
                <w:tcPr>
                  <w:tcW w:w="426"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Merge w:val="continue"/>
                  <w:vAlign w:val="center"/>
                </w:tcPr>
                <w:p>
                  <w:pPr>
                    <w:widowControl w:val="0"/>
                    <w:adjustRightInd w:val="0"/>
                    <w:snapToGrid w:val="0"/>
                    <w:spacing w:line="240" w:lineRule="auto"/>
                    <w:jc w:val="center"/>
                    <w:rPr>
                      <w:rFonts w:eastAsia="宋体" w:cs="Calibri"/>
                      <w:b/>
                      <w:sz w:val="21"/>
                      <w:szCs w:val="21"/>
                    </w:rPr>
                  </w:pP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经纬度</w:t>
                  </w:r>
                </w:p>
              </w:tc>
              <w:tc>
                <w:tcPr>
                  <w:tcW w:w="851"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Merge w:val="continue"/>
                  <w:vAlign w:val="center"/>
                </w:tcPr>
                <w:p>
                  <w:pPr>
                    <w:widowControl w:val="0"/>
                    <w:adjustRightInd w:val="0"/>
                    <w:snapToGrid w:val="0"/>
                    <w:spacing w:line="240" w:lineRule="auto"/>
                    <w:jc w:val="center"/>
                    <w:rPr>
                      <w:rFonts w:eastAsia="宋体" w:cs="Calibri"/>
                      <w:b/>
                      <w:sz w:val="21"/>
                      <w:szCs w:val="21"/>
                    </w:rPr>
                  </w:pPr>
                </w:p>
              </w:tc>
              <w:tc>
                <w:tcPr>
                  <w:tcW w:w="567" w:type="dxa"/>
                  <w:vMerge w:val="continue"/>
                  <w:vAlign w:val="center"/>
                </w:tcPr>
                <w:p>
                  <w:pPr>
                    <w:widowControl w:val="0"/>
                    <w:adjustRightInd w:val="0"/>
                    <w:snapToGrid w:val="0"/>
                    <w:spacing w:line="240" w:lineRule="auto"/>
                    <w:jc w:val="center"/>
                    <w:rPr>
                      <w:rFonts w:eastAsia="宋体" w:cs="Calibri"/>
                      <w:b/>
                      <w:sz w:val="21"/>
                      <w:szCs w:val="21"/>
                    </w:rPr>
                  </w:pPr>
                </w:p>
              </w:tc>
              <w:tc>
                <w:tcPr>
                  <w:tcW w:w="851" w:type="dxa"/>
                  <w:vMerge w:val="continue"/>
                  <w:vAlign w:val="center"/>
                </w:tcPr>
                <w:p>
                  <w:pPr>
                    <w:widowControl w:val="0"/>
                    <w:adjustRightInd w:val="0"/>
                    <w:snapToGrid w:val="0"/>
                    <w:spacing w:line="240" w:lineRule="auto"/>
                    <w:jc w:val="center"/>
                    <w:rPr>
                      <w:rFonts w:eastAsia="宋体" w:cs="Calibri"/>
                      <w:b/>
                      <w:sz w:val="21"/>
                      <w:szCs w:val="21"/>
                    </w:rPr>
                  </w:pP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名称(b)</w:t>
                  </w:r>
                </w:p>
              </w:tc>
              <w:tc>
                <w:tcPr>
                  <w:tcW w:w="85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污染物种类</w:t>
                  </w:r>
                </w:p>
              </w:tc>
              <w:tc>
                <w:tcPr>
                  <w:tcW w:w="184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26"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1</w:t>
                  </w:r>
                </w:p>
              </w:tc>
              <w:tc>
                <w:tcPr>
                  <w:tcW w:w="850"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DW001</w:t>
                  </w:r>
                </w:p>
              </w:tc>
              <w:tc>
                <w:tcPr>
                  <w:tcW w:w="1134"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118.80207534.129829</w:t>
                  </w:r>
                </w:p>
              </w:tc>
              <w:tc>
                <w:tcPr>
                  <w:tcW w:w="851"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0.07592</w:t>
                  </w:r>
                </w:p>
              </w:tc>
              <w:tc>
                <w:tcPr>
                  <w:tcW w:w="850"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进入</w:t>
                  </w:r>
                  <w:r>
                    <w:rPr>
                      <w:rFonts w:hint="eastAsia" w:eastAsia="宋体"/>
                      <w:color w:val="000000"/>
                      <w:kern w:val="0"/>
                      <w:sz w:val="21"/>
                      <w:szCs w:val="21"/>
                    </w:rPr>
                    <w:t>沭阳县城东污水处理厂</w:t>
                  </w:r>
                </w:p>
              </w:tc>
              <w:tc>
                <w:tcPr>
                  <w:tcW w:w="567" w:type="dxa"/>
                  <w:vAlign w:val="center"/>
                </w:tcPr>
                <w:p>
                  <w:pPr>
                    <w:widowControl w:val="0"/>
                    <w:adjustRightInd w:val="0"/>
                    <w:snapToGrid w:val="0"/>
                    <w:spacing w:line="240" w:lineRule="auto"/>
                    <w:jc w:val="center"/>
                    <w:rPr>
                      <w:rFonts w:eastAsia="宋体" w:cs="Calibri"/>
                      <w:sz w:val="21"/>
                      <w:szCs w:val="21"/>
                    </w:rPr>
                  </w:pPr>
                  <w:r>
                    <w:rPr>
                      <w:rFonts w:hint="eastAsia" w:eastAsia="宋体" w:cs="Calibri"/>
                      <w:sz w:val="21"/>
                      <w:szCs w:val="21"/>
                    </w:rPr>
                    <w:t>/</w:t>
                  </w:r>
                </w:p>
              </w:tc>
              <w:tc>
                <w:tcPr>
                  <w:tcW w:w="851"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w:t>
                  </w:r>
                </w:p>
              </w:tc>
              <w:tc>
                <w:tcPr>
                  <w:tcW w:w="850" w:type="dxa"/>
                  <w:vAlign w:val="center"/>
                </w:tcPr>
                <w:p>
                  <w:pPr>
                    <w:widowControl w:val="0"/>
                    <w:adjustRightInd w:val="0"/>
                    <w:snapToGrid w:val="0"/>
                    <w:spacing w:line="240" w:lineRule="auto"/>
                    <w:jc w:val="center"/>
                    <w:rPr>
                      <w:rFonts w:eastAsia="宋体" w:cs="Calibri"/>
                      <w:sz w:val="21"/>
                      <w:szCs w:val="21"/>
                    </w:rPr>
                  </w:pPr>
                  <w:r>
                    <w:rPr>
                      <w:rFonts w:hint="eastAsia" w:eastAsia="宋体"/>
                      <w:color w:val="000000"/>
                      <w:kern w:val="0"/>
                      <w:sz w:val="21"/>
                      <w:szCs w:val="21"/>
                    </w:rPr>
                    <w:t>沭阳县城东污水处理厂</w:t>
                  </w:r>
                </w:p>
              </w:tc>
              <w:tc>
                <w:tcPr>
                  <w:tcW w:w="851"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COD</w:t>
                  </w:r>
                </w:p>
                <w:p>
                  <w:pPr>
                    <w:widowControl w:val="0"/>
                    <w:adjustRightInd w:val="0"/>
                    <w:snapToGrid w:val="0"/>
                    <w:spacing w:line="240" w:lineRule="auto"/>
                    <w:jc w:val="center"/>
                    <w:rPr>
                      <w:rFonts w:eastAsia="宋体" w:cs="Calibri"/>
                      <w:sz w:val="21"/>
                      <w:szCs w:val="21"/>
                    </w:rPr>
                  </w:pPr>
                  <w:r>
                    <w:rPr>
                      <w:rFonts w:eastAsia="宋体" w:cs="Calibri"/>
                      <w:sz w:val="21"/>
                      <w:szCs w:val="21"/>
                    </w:rPr>
                    <w:t>SS</w:t>
                  </w:r>
                </w:p>
                <w:p>
                  <w:pPr>
                    <w:widowControl w:val="0"/>
                    <w:adjustRightInd w:val="0"/>
                    <w:snapToGrid w:val="0"/>
                    <w:spacing w:line="240" w:lineRule="auto"/>
                    <w:jc w:val="center"/>
                    <w:rPr>
                      <w:rFonts w:eastAsia="宋体" w:cs="Calibri"/>
                      <w:sz w:val="21"/>
                      <w:szCs w:val="21"/>
                    </w:rPr>
                  </w:pPr>
                  <w:r>
                    <w:rPr>
                      <w:rFonts w:eastAsia="宋体" w:cs="Calibri"/>
                      <w:sz w:val="21"/>
                      <w:szCs w:val="21"/>
                    </w:rPr>
                    <w:t>氨氮</w:t>
                  </w:r>
                </w:p>
                <w:p>
                  <w:pPr>
                    <w:widowControl w:val="0"/>
                    <w:adjustRightInd w:val="0"/>
                    <w:snapToGrid w:val="0"/>
                    <w:spacing w:line="240" w:lineRule="auto"/>
                    <w:jc w:val="center"/>
                    <w:rPr>
                      <w:rFonts w:eastAsia="宋体" w:cs="Calibri"/>
                      <w:sz w:val="21"/>
                      <w:szCs w:val="21"/>
                    </w:rPr>
                  </w:pPr>
                  <w:r>
                    <w:rPr>
                      <w:rFonts w:eastAsia="宋体" w:cs="Calibri"/>
                      <w:sz w:val="21"/>
                      <w:szCs w:val="21"/>
                    </w:rPr>
                    <w:t>总磷</w:t>
                  </w:r>
                </w:p>
                <w:p>
                  <w:pPr>
                    <w:widowControl w:val="0"/>
                    <w:adjustRightInd w:val="0"/>
                    <w:snapToGrid w:val="0"/>
                    <w:spacing w:line="240" w:lineRule="auto"/>
                    <w:jc w:val="center"/>
                  </w:pPr>
                  <w:r>
                    <w:rPr>
                      <w:rFonts w:hint="eastAsia" w:eastAsia="宋体" w:cs="Calibri"/>
                      <w:sz w:val="21"/>
                      <w:szCs w:val="21"/>
                    </w:rPr>
                    <w:t>总氮</w:t>
                  </w:r>
                </w:p>
              </w:tc>
              <w:tc>
                <w:tcPr>
                  <w:tcW w:w="1840" w:type="dxa"/>
                  <w:vAlign w:val="center"/>
                </w:tcPr>
                <w:p>
                  <w:pPr>
                    <w:widowControl w:val="0"/>
                    <w:adjustRightInd w:val="0"/>
                    <w:snapToGrid w:val="0"/>
                    <w:spacing w:line="240" w:lineRule="auto"/>
                    <w:jc w:val="center"/>
                    <w:rPr>
                      <w:rFonts w:eastAsia="宋体" w:cs="Calibri"/>
                      <w:sz w:val="21"/>
                      <w:szCs w:val="21"/>
                    </w:rPr>
                  </w:pPr>
                  <w:r>
                    <w:rPr>
                      <w:rFonts w:eastAsia="宋体" w:cs="Calibri"/>
                      <w:sz w:val="21"/>
                      <w:szCs w:val="21"/>
                    </w:rPr>
                    <w:t>≤50</w:t>
                  </w:r>
                </w:p>
                <w:p>
                  <w:pPr>
                    <w:widowControl w:val="0"/>
                    <w:adjustRightInd w:val="0"/>
                    <w:snapToGrid w:val="0"/>
                    <w:spacing w:line="240" w:lineRule="auto"/>
                    <w:jc w:val="center"/>
                    <w:rPr>
                      <w:rFonts w:eastAsia="宋体" w:cs="Calibri"/>
                      <w:sz w:val="21"/>
                      <w:szCs w:val="21"/>
                    </w:rPr>
                  </w:pPr>
                  <w:r>
                    <w:rPr>
                      <w:rFonts w:eastAsia="宋体" w:cs="Calibri"/>
                      <w:sz w:val="21"/>
                      <w:szCs w:val="21"/>
                    </w:rPr>
                    <w:t>≤10</w:t>
                  </w:r>
                </w:p>
                <w:p>
                  <w:pPr>
                    <w:widowControl w:val="0"/>
                    <w:adjustRightInd w:val="0"/>
                    <w:snapToGrid w:val="0"/>
                    <w:spacing w:line="240" w:lineRule="auto"/>
                    <w:jc w:val="center"/>
                    <w:rPr>
                      <w:rFonts w:eastAsia="宋体" w:cs="Calibri"/>
                      <w:sz w:val="21"/>
                      <w:szCs w:val="21"/>
                    </w:rPr>
                  </w:pPr>
                  <w:r>
                    <w:rPr>
                      <w:rFonts w:eastAsia="宋体" w:cs="Calibri"/>
                      <w:sz w:val="21"/>
                      <w:szCs w:val="21"/>
                    </w:rPr>
                    <w:t>≤5（8）</w:t>
                  </w:r>
                </w:p>
                <w:p>
                  <w:pPr>
                    <w:widowControl w:val="0"/>
                    <w:adjustRightInd w:val="0"/>
                    <w:snapToGrid w:val="0"/>
                    <w:spacing w:line="240" w:lineRule="auto"/>
                    <w:jc w:val="center"/>
                    <w:rPr>
                      <w:rFonts w:eastAsia="宋体" w:cs="Calibri"/>
                      <w:sz w:val="21"/>
                      <w:szCs w:val="21"/>
                    </w:rPr>
                  </w:pPr>
                  <w:r>
                    <w:rPr>
                      <w:rFonts w:eastAsia="宋体" w:cs="Calibri"/>
                      <w:sz w:val="21"/>
                      <w:szCs w:val="21"/>
                    </w:rPr>
                    <w:t>≤0.5</w:t>
                  </w:r>
                </w:p>
                <w:p>
                  <w:pPr>
                    <w:widowControl w:val="0"/>
                    <w:adjustRightInd w:val="0"/>
                    <w:snapToGrid w:val="0"/>
                    <w:spacing w:line="240" w:lineRule="auto"/>
                    <w:jc w:val="center"/>
                    <w:rPr>
                      <w:rFonts w:eastAsia="宋体" w:cs="Calibri"/>
                      <w:sz w:val="21"/>
                      <w:szCs w:val="21"/>
                    </w:rPr>
                  </w:pPr>
                  <w:r>
                    <w:rPr>
                      <w:rFonts w:eastAsia="宋体" w:cs="Calibri"/>
                      <w:sz w:val="21"/>
                      <w:szCs w:val="21"/>
                    </w:rPr>
                    <w:t>≤</w:t>
                  </w:r>
                  <w:r>
                    <w:rPr>
                      <w:rFonts w:hint="eastAsia" w:eastAsia="宋体" w:cs="Calibri"/>
                      <w:sz w:val="21"/>
                      <w:szCs w:val="21"/>
                    </w:rPr>
                    <w:t>15</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a对于排至厂外公共污水处理系统的排放口，指废水排出厂界处经纬度坐标。</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b指厂外城镇或工业污水集中处理设施名称，如XX生活污水处理厂、XXX化工园区污水处理厂等。</w:t>
            </w:r>
          </w:p>
          <w:p>
            <w:pPr>
              <w:spacing w:line="500" w:lineRule="exact"/>
              <w:ind w:firstLine="480" w:firstLineChars="200"/>
              <w:rPr>
                <w:rFonts w:eastAsia="宋体"/>
                <w:color w:val="000000"/>
                <w:kern w:val="0"/>
                <w:sz w:val="24"/>
                <w:szCs w:val="24"/>
              </w:rPr>
            </w:pPr>
            <w:r>
              <w:rPr>
                <w:rFonts w:eastAsia="宋体"/>
                <w:color w:val="000000"/>
                <w:kern w:val="0"/>
                <w:sz w:val="24"/>
                <w:szCs w:val="24"/>
              </w:rPr>
              <w:t>（4）废水污染物排放信息</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2</w:t>
            </w:r>
            <w:r>
              <w:rPr>
                <w:rFonts w:eastAsia="宋体"/>
                <w:b/>
                <w:color w:val="000000"/>
                <w:kern w:val="0"/>
                <w:sz w:val="24"/>
                <w:szCs w:val="21"/>
              </w:rPr>
              <w:t xml:space="preserve"> 废水污染物排放信息表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31"/>
              <w:gridCol w:w="904"/>
              <w:gridCol w:w="1361"/>
              <w:gridCol w:w="1022"/>
              <w:gridCol w:w="1438"/>
              <w:gridCol w:w="1612"/>
              <w:gridCol w:w="16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3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90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排放口编号</w:t>
                  </w:r>
                </w:p>
              </w:tc>
              <w:tc>
                <w:tcPr>
                  <w:tcW w:w="136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废水排放量/（万t/a）</w:t>
                  </w:r>
                </w:p>
              </w:tc>
              <w:tc>
                <w:tcPr>
                  <w:tcW w:w="102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污染物种类</w:t>
                  </w:r>
                </w:p>
              </w:tc>
              <w:tc>
                <w:tcPr>
                  <w:tcW w:w="1438"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排放浓度/（mg/</w:t>
                  </w:r>
                  <w:r>
                    <w:rPr>
                      <w:rFonts w:hint="eastAsia" w:eastAsia="宋体" w:cs="Calibri"/>
                      <w:b/>
                      <w:sz w:val="21"/>
                      <w:szCs w:val="21"/>
                    </w:rPr>
                    <w:t>l</w:t>
                  </w:r>
                  <w:r>
                    <w:rPr>
                      <w:rFonts w:eastAsia="宋体" w:cs="Calibri"/>
                      <w:b/>
                      <w:sz w:val="21"/>
                      <w:szCs w:val="21"/>
                    </w:rPr>
                    <w:t>）</w:t>
                  </w:r>
                </w:p>
              </w:tc>
              <w:tc>
                <w:tcPr>
                  <w:tcW w:w="161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日排放量/（t/d）</w:t>
                  </w:r>
                </w:p>
              </w:tc>
              <w:tc>
                <w:tcPr>
                  <w:tcW w:w="161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5" w:hRule="atLeast"/>
                <w:jc w:val="center"/>
              </w:trPr>
              <w:tc>
                <w:tcPr>
                  <w:tcW w:w="831"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1</w:t>
                  </w:r>
                </w:p>
              </w:tc>
              <w:tc>
                <w:tcPr>
                  <w:tcW w:w="904"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DW001</w:t>
                  </w:r>
                </w:p>
              </w:tc>
              <w:tc>
                <w:tcPr>
                  <w:tcW w:w="1361" w:type="dxa"/>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0.07592</w:t>
                  </w: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300</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0.000625</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20</w:t>
                  </w:r>
                  <w:r>
                    <w:rPr>
                      <w:rFonts w:eastAsia="宋体"/>
                      <w:color w:val="000000"/>
                      <w:sz w:val="21"/>
                      <w:szCs w:val="21"/>
                    </w:rPr>
                    <w:t>0</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0.000411</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2</w:t>
                  </w:r>
                  <w:r>
                    <w:rPr>
                      <w:rFonts w:eastAsia="宋体"/>
                      <w:color w:val="000000"/>
                      <w:sz w:val="21"/>
                      <w:szCs w:val="21"/>
                    </w:rPr>
                    <w:t>5</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0.000052</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3</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0.0000063</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4" w:hRule="atLeast"/>
                <w:jc w:val="center"/>
              </w:trPr>
              <w:tc>
                <w:tcPr>
                  <w:tcW w:w="83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904"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361" w:type="dxa"/>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1022"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总氮</w:t>
                  </w:r>
                </w:p>
              </w:tc>
              <w:tc>
                <w:tcPr>
                  <w:tcW w:w="1438"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45</w:t>
                  </w:r>
                </w:p>
              </w:tc>
              <w:tc>
                <w:tcPr>
                  <w:tcW w:w="1612"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0.000093</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restart"/>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全厂排放口合计</w:t>
                  </w: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COD</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SS</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氨氮</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总磷</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35" w:type="dxa"/>
                  <w:gridSpan w:val="2"/>
                  <w:vMerge w:val="continue"/>
                  <w:vAlign w:val="center"/>
                </w:tcPr>
                <w:p>
                  <w:pPr>
                    <w:widowControl w:val="0"/>
                    <w:snapToGrid w:val="0"/>
                    <w:spacing w:line="240" w:lineRule="auto"/>
                    <w:ind w:left="-104" w:leftChars="-37" w:right="-106" w:rightChars="-38"/>
                    <w:jc w:val="center"/>
                    <w:rPr>
                      <w:rFonts w:eastAsia="宋体"/>
                      <w:color w:val="000000"/>
                      <w:sz w:val="21"/>
                      <w:szCs w:val="21"/>
                    </w:rPr>
                  </w:pPr>
                </w:p>
              </w:tc>
              <w:tc>
                <w:tcPr>
                  <w:tcW w:w="5433" w:type="dxa"/>
                  <w:gridSpan w:val="4"/>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总氮</w:t>
                  </w:r>
                </w:p>
              </w:tc>
              <w:tc>
                <w:tcPr>
                  <w:tcW w:w="1611"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0.034</w:t>
                  </w:r>
                </w:p>
              </w:tc>
            </w:tr>
          </w:tbl>
          <w:p>
            <w:pPr>
              <w:spacing w:line="500" w:lineRule="exact"/>
              <w:ind w:firstLine="480" w:firstLineChars="200"/>
              <w:rPr>
                <w:rFonts w:eastAsia="宋体"/>
                <w:color w:val="000000"/>
                <w:kern w:val="0"/>
                <w:sz w:val="24"/>
                <w:szCs w:val="24"/>
              </w:rPr>
            </w:pPr>
            <w:r>
              <w:rPr>
                <w:rFonts w:eastAsia="宋体"/>
                <w:color w:val="000000"/>
                <w:kern w:val="0"/>
                <w:sz w:val="24"/>
                <w:szCs w:val="24"/>
              </w:rPr>
              <w:t xml:space="preserve">（5）环境监测计划及记录信息 </w:t>
            </w:r>
          </w:p>
          <w:p>
            <w:pPr>
              <w:spacing w:line="500" w:lineRule="exact"/>
              <w:ind w:firstLine="482" w:firstLineChars="200"/>
              <w:jc w:val="center"/>
              <w:rPr>
                <w:rFonts w:eastAsia="宋体"/>
                <w:b/>
                <w:color w:val="000000"/>
                <w:kern w:val="0"/>
                <w:sz w:val="24"/>
                <w:szCs w:val="21"/>
              </w:rPr>
            </w:pPr>
            <w:r>
              <w:rPr>
                <w:rFonts w:eastAsia="宋体"/>
                <w:b/>
                <w:color w:val="000000"/>
                <w:kern w:val="0"/>
                <w:sz w:val="24"/>
                <w:szCs w:val="21"/>
              </w:rPr>
              <w:t>表7-1</w:t>
            </w:r>
            <w:r>
              <w:rPr>
                <w:rFonts w:hint="eastAsia" w:eastAsia="宋体"/>
                <w:b/>
                <w:color w:val="000000"/>
                <w:kern w:val="0"/>
                <w:sz w:val="24"/>
                <w:szCs w:val="21"/>
              </w:rPr>
              <w:t>3</w:t>
            </w:r>
            <w:r>
              <w:rPr>
                <w:rFonts w:eastAsia="宋体"/>
                <w:b/>
                <w:color w:val="000000"/>
                <w:kern w:val="0"/>
                <w:sz w:val="24"/>
                <w:szCs w:val="21"/>
              </w:rPr>
              <w:t xml:space="preserve">  环境监测计划及记录信息表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6"/>
              <w:gridCol w:w="850"/>
              <w:gridCol w:w="709"/>
              <w:gridCol w:w="709"/>
              <w:gridCol w:w="1559"/>
              <w:gridCol w:w="850"/>
              <w:gridCol w:w="851"/>
              <w:gridCol w:w="1134"/>
              <w:gridCol w:w="992"/>
              <w:gridCol w:w="9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序号</w:t>
                  </w: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排放口</w:t>
                  </w:r>
                </w:p>
                <w:p>
                  <w:pPr>
                    <w:widowControl w:val="0"/>
                    <w:adjustRightInd w:val="0"/>
                    <w:snapToGrid w:val="0"/>
                    <w:spacing w:line="240" w:lineRule="auto"/>
                    <w:jc w:val="center"/>
                    <w:rPr>
                      <w:rFonts w:eastAsia="宋体" w:cs="Calibri"/>
                      <w:b/>
                      <w:sz w:val="21"/>
                      <w:szCs w:val="21"/>
                    </w:rPr>
                  </w:pPr>
                  <w:r>
                    <w:rPr>
                      <w:rFonts w:eastAsia="宋体" w:cs="Calibri"/>
                      <w:b/>
                      <w:sz w:val="21"/>
                      <w:szCs w:val="21"/>
                    </w:rPr>
                    <w:t>编号</w:t>
                  </w:r>
                </w:p>
              </w:tc>
              <w:tc>
                <w:tcPr>
                  <w:tcW w:w="70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污染物名称</w:t>
                  </w:r>
                </w:p>
              </w:tc>
              <w:tc>
                <w:tcPr>
                  <w:tcW w:w="70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检测</w:t>
                  </w:r>
                </w:p>
                <w:p>
                  <w:pPr>
                    <w:widowControl w:val="0"/>
                    <w:adjustRightInd w:val="0"/>
                    <w:snapToGrid w:val="0"/>
                    <w:spacing w:line="240" w:lineRule="auto"/>
                    <w:jc w:val="center"/>
                    <w:rPr>
                      <w:rFonts w:eastAsia="宋体" w:cs="Calibri"/>
                      <w:b/>
                      <w:sz w:val="21"/>
                      <w:szCs w:val="21"/>
                    </w:rPr>
                  </w:pPr>
                  <w:r>
                    <w:rPr>
                      <w:rFonts w:eastAsia="宋体" w:cs="Calibri"/>
                      <w:b/>
                      <w:sz w:val="21"/>
                      <w:szCs w:val="21"/>
                    </w:rPr>
                    <w:t>设施</w:t>
                  </w:r>
                </w:p>
              </w:tc>
              <w:tc>
                <w:tcPr>
                  <w:tcW w:w="155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自动检测设施安装、运行、维护等相关管理要求</w:t>
                  </w:r>
                </w:p>
              </w:tc>
              <w:tc>
                <w:tcPr>
                  <w:tcW w:w="850"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自动监测是否联网</w:t>
                  </w:r>
                </w:p>
              </w:tc>
              <w:tc>
                <w:tcPr>
                  <w:tcW w:w="851"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自动监测仪器名称</w:t>
                  </w:r>
                </w:p>
              </w:tc>
              <w:tc>
                <w:tcPr>
                  <w:tcW w:w="1134"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手工采样方法及个数(a)</w:t>
                  </w:r>
                </w:p>
              </w:tc>
              <w:tc>
                <w:tcPr>
                  <w:tcW w:w="992"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手工监测</w:t>
                  </w:r>
                </w:p>
                <w:p>
                  <w:pPr>
                    <w:widowControl w:val="0"/>
                    <w:adjustRightInd w:val="0"/>
                    <w:snapToGrid w:val="0"/>
                    <w:spacing w:line="240" w:lineRule="auto"/>
                    <w:jc w:val="center"/>
                    <w:rPr>
                      <w:rFonts w:eastAsia="宋体" w:cs="Calibri"/>
                      <w:b/>
                      <w:sz w:val="21"/>
                      <w:szCs w:val="21"/>
                    </w:rPr>
                  </w:pPr>
                  <w:r>
                    <w:rPr>
                      <w:rFonts w:eastAsia="宋体" w:cs="Calibri"/>
                      <w:b/>
                      <w:sz w:val="21"/>
                      <w:szCs w:val="21"/>
                    </w:rPr>
                    <w:t>频次(b)</w:t>
                  </w:r>
                </w:p>
              </w:tc>
              <w:tc>
                <w:tcPr>
                  <w:tcW w:w="989" w:type="dxa"/>
                  <w:vAlign w:val="center"/>
                </w:tcPr>
                <w:p>
                  <w:pPr>
                    <w:widowControl w:val="0"/>
                    <w:adjustRightInd w:val="0"/>
                    <w:snapToGrid w:val="0"/>
                    <w:spacing w:line="240" w:lineRule="auto"/>
                    <w:jc w:val="center"/>
                    <w:rPr>
                      <w:rFonts w:eastAsia="宋体" w:cs="Calibri"/>
                      <w:b/>
                      <w:sz w:val="21"/>
                      <w:szCs w:val="21"/>
                    </w:rPr>
                  </w:pPr>
                  <w:r>
                    <w:rPr>
                      <w:rFonts w:eastAsia="宋体" w:cs="Calibri"/>
                      <w:b/>
                      <w:sz w:val="21"/>
                      <w:szCs w:val="21"/>
                    </w:rPr>
                    <w:t>手工测定方法(c)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1</w:t>
                  </w:r>
                </w:p>
              </w:tc>
              <w:tc>
                <w:tcPr>
                  <w:tcW w:w="850" w:type="dxa"/>
                  <w:vAlign w:val="center"/>
                </w:tcPr>
                <w:p>
                  <w:pPr>
                    <w:widowControl w:val="0"/>
                    <w:snapToGrid w:val="0"/>
                    <w:spacing w:line="240" w:lineRule="auto"/>
                    <w:ind w:left="-104" w:leftChars="-37" w:right="-106" w:rightChars="-38"/>
                    <w:jc w:val="center"/>
                    <w:rPr>
                      <w:rFonts w:eastAsia="宋体"/>
                      <w:color w:val="000000"/>
                      <w:sz w:val="21"/>
                      <w:szCs w:val="21"/>
                    </w:rPr>
                  </w:pPr>
                  <w:r>
                    <w:rPr>
                      <w:rFonts w:hint="eastAsia" w:eastAsia="宋体"/>
                      <w:color w:val="000000"/>
                      <w:sz w:val="21"/>
                      <w:szCs w:val="21"/>
                    </w:rPr>
                    <w:t>DW001</w:t>
                  </w:r>
                </w:p>
              </w:tc>
              <w:tc>
                <w:tcPr>
                  <w:tcW w:w="709" w:type="dxa"/>
                  <w:vAlign w:val="center"/>
                </w:tcPr>
                <w:p>
                  <w:pPr>
                    <w:adjustRightInd w:val="0"/>
                    <w:snapToGrid w:val="0"/>
                    <w:spacing w:line="240" w:lineRule="auto"/>
                    <w:jc w:val="center"/>
                    <w:rPr>
                      <w:rFonts w:eastAsia="宋体"/>
                      <w:kern w:val="0"/>
                      <w:sz w:val="21"/>
                      <w:szCs w:val="21"/>
                    </w:rPr>
                  </w:pPr>
                  <w:r>
                    <w:rPr>
                      <w:rFonts w:eastAsia="宋体"/>
                      <w:kern w:val="0"/>
                      <w:sz w:val="21"/>
                      <w:szCs w:val="21"/>
                    </w:rPr>
                    <w:t>COD</w:t>
                  </w:r>
                </w:p>
                <w:p>
                  <w:pPr>
                    <w:adjustRightInd w:val="0"/>
                    <w:snapToGrid w:val="0"/>
                    <w:spacing w:line="240" w:lineRule="auto"/>
                    <w:jc w:val="center"/>
                    <w:rPr>
                      <w:rFonts w:eastAsia="宋体"/>
                      <w:kern w:val="0"/>
                      <w:sz w:val="21"/>
                      <w:szCs w:val="21"/>
                    </w:rPr>
                  </w:pPr>
                  <w:r>
                    <w:rPr>
                      <w:rFonts w:eastAsia="宋体"/>
                      <w:kern w:val="0"/>
                      <w:sz w:val="21"/>
                      <w:szCs w:val="21"/>
                    </w:rPr>
                    <w:t>SS</w:t>
                  </w:r>
                </w:p>
                <w:p>
                  <w:pPr>
                    <w:adjustRightInd w:val="0"/>
                    <w:snapToGrid w:val="0"/>
                    <w:spacing w:line="240" w:lineRule="auto"/>
                    <w:jc w:val="center"/>
                    <w:rPr>
                      <w:rFonts w:eastAsia="宋体"/>
                      <w:kern w:val="0"/>
                      <w:sz w:val="21"/>
                      <w:szCs w:val="21"/>
                    </w:rPr>
                  </w:pPr>
                  <w:r>
                    <w:rPr>
                      <w:rFonts w:eastAsia="宋体"/>
                      <w:kern w:val="0"/>
                      <w:sz w:val="21"/>
                      <w:szCs w:val="21"/>
                    </w:rPr>
                    <w:t>氨氮</w:t>
                  </w:r>
                </w:p>
                <w:p>
                  <w:pPr>
                    <w:adjustRightInd w:val="0"/>
                    <w:snapToGrid w:val="0"/>
                    <w:spacing w:line="240" w:lineRule="auto"/>
                    <w:jc w:val="center"/>
                    <w:rPr>
                      <w:rFonts w:eastAsia="宋体"/>
                      <w:kern w:val="0"/>
                      <w:sz w:val="21"/>
                      <w:szCs w:val="21"/>
                    </w:rPr>
                  </w:pPr>
                  <w:r>
                    <w:rPr>
                      <w:rFonts w:eastAsia="宋体"/>
                      <w:kern w:val="0"/>
                      <w:sz w:val="21"/>
                      <w:szCs w:val="21"/>
                    </w:rPr>
                    <w:t>总磷</w:t>
                  </w:r>
                </w:p>
                <w:p>
                  <w:pPr>
                    <w:adjustRightInd w:val="0"/>
                    <w:snapToGrid w:val="0"/>
                    <w:spacing w:line="240" w:lineRule="auto"/>
                    <w:jc w:val="center"/>
                  </w:pPr>
                  <w:r>
                    <w:rPr>
                      <w:rFonts w:hint="eastAsia" w:eastAsia="宋体"/>
                      <w:kern w:val="0"/>
                      <w:sz w:val="21"/>
                      <w:szCs w:val="21"/>
                    </w:rPr>
                    <w:t>总氮</w:t>
                  </w:r>
                </w:p>
              </w:tc>
              <w:tc>
                <w:tcPr>
                  <w:tcW w:w="70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手工</w:t>
                  </w:r>
                </w:p>
              </w:tc>
              <w:tc>
                <w:tcPr>
                  <w:tcW w:w="155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按管理规定执行</w:t>
                  </w:r>
                </w:p>
              </w:tc>
              <w:tc>
                <w:tcPr>
                  <w:tcW w:w="850"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否</w:t>
                  </w:r>
                </w:p>
              </w:tc>
              <w:tc>
                <w:tcPr>
                  <w:tcW w:w="851"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1134"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992"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c>
                <w:tcPr>
                  <w:tcW w:w="989" w:type="dxa"/>
                  <w:vAlign w:val="center"/>
                </w:tcPr>
                <w:p>
                  <w:pPr>
                    <w:widowControl w:val="0"/>
                    <w:snapToGrid w:val="0"/>
                    <w:spacing w:line="240" w:lineRule="auto"/>
                    <w:ind w:left="-104" w:leftChars="-37" w:right="-106" w:rightChars="-38"/>
                    <w:jc w:val="center"/>
                    <w:rPr>
                      <w:rFonts w:eastAsia="宋体"/>
                      <w:color w:val="000000"/>
                      <w:sz w:val="21"/>
                      <w:szCs w:val="21"/>
                    </w:rPr>
                  </w:pPr>
                  <w:r>
                    <w:rPr>
                      <w:rFonts w:eastAsia="宋体"/>
                      <w:color w:val="000000"/>
                      <w:sz w:val="21"/>
                      <w:szCs w:val="21"/>
                    </w:rPr>
                    <w:t>—</w:t>
                  </w:r>
                </w:p>
              </w:tc>
            </w:tr>
          </w:tbl>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a指污染物采样方法，如“混合采样（3个、4个或5个混合）”“瞬时采样（3个、4个或5个瞬时样）”。</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b指一段时期内的监测次数要求，如1次/ 周、1次/ 月等。</w:t>
            </w:r>
          </w:p>
          <w:p>
            <w:pPr>
              <w:widowControl w:val="0"/>
              <w:adjustRightInd w:val="0"/>
              <w:snapToGrid w:val="0"/>
              <w:ind w:firstLine="360" w:firstLineChars="200"/>
              <w:rPr>
                <w:rFonts w:eastAsia="宋体"/>
                <w:color w:val="000000"/>
                <w:kern w:val="24"/>
                <w:sz w:val="18"/>
                <w:szCs w:val="18"/>
              </w:rPr>
            </w:pPr>
            <w:r>
              <w:rPr>
                <w:rFonts w:eastAsia="宋体"/>
                <w:color w:val="000000"/>
                <w:kern w:val="24"/>
                <w:sz w:val="18"/>
                <w:szCs w:val="18"/>
              </w:rPr>
              <w:t>C指污染物浓度测定方法，如测定化学需氧量的重铬酸钾法、测定氨氮的水杨酸分光度法等。</w:t>
            </w:r>
          </w:p>
          <w:p>
            <w:pPr>
              <w:ind w:firstLine="480" w:firstLineChars="200"/>
              <w:jc w:val="both"/>
              <w:rPr>
                <w:rFonts w:eastAsia="宋体"/>
                <w:kern w:val="0"/>
                <w:sz w:val="24"/>
                <w:szCs w:val="24"/>
              </w:rPr>
            </w:pPr>
            <w:r>
              <w:rPr>
                <w:rFonts w:hint="eastAsia" w:eastAsia="宋体"/>
                <w:color w:val="000000"/>
                <w:kern w:val="0"/>
                <w:sz w:val="24"/>
                <w:szCs w:val="24"/>
              </w:rPr>
              <w:t>项目</w:t>
            </w:r>
            <w:r>
              <w:rPr>
                <w:rFonts w:eastAsia="宋体"/>
                <w:kern w:val="0"/>
                <w:sz w:val="24"/>
              </w:rPr>
              <w:t>生活污水经化粪池处理后</w:t>
            </w:r>
            <w:r>
              <w:rPr>
                <w:rFonts w:hint="eastAsia" w:eastAsia="宋体"/>
                <w:kern w:val="0"/>
                <w:sz w:val="24"/>
                <w:szCs w:val="22"/>
              </w:rPr>
              <w:t>接管至沭阳县城东污水处理厂</w:t>
            </w:r>
            <w:r>
              <w:rPr>
                <w:rFonts w:eastAsia="宋体"/>
                <w:kern w:val="0"/>
                <w:sz w:val="24"/>
                <w:szCs w:val="22"/>
              </w:rPr>
              <w:t>处理，尾水处理达《城镇污水处理厂污染物排放标准》（GB18918-2002）表1中一级A标准后</w:t>
            </w:r>
            <w:r>
              <w:rPr>
                <w:rFonts w:eastAsia="宋体"/>
                <w:kern w:val="0"/>
                <w:sz w:val="24"/>
                <w:szCs w:val="24"/>
              </w:rPr>
              <w:t>外排入</w:t>
            </w:r>
            <w:r>
              <w:rPr>
                <w:rFonts w:hint="eastAsia" w:eastAsia="宋体"/>
                <w:kern w:val="0"/>
                <w:sz w:val="24"/>
                <w:szCs w:val="24"/>
              </w:rPr>
              <w:t>沂南河</w:t>
            </w:r>
            <w:r>
              <w:rPr>
                <w:rFonts w:eastAsia="宋体"/>
                <w:kern w:val="0"/>
                <w:sz w:val="24"/>
                <w:szCs w:val="24"/>
              </w:rPr>
              <w:t>。</w:t>
            </w:r>
          </w:p>
          <w:p>
            <w:pPr>
              <w:pStyle w:val="25"/>
              <w:ind w:firstLine="480" w:firstLineChars="200"/>
              <w:rPr>
                <w:rFonts w:eastAsia="宋体" w:cs="宋体"/>
                <w:kern w:val="0"/>
                <w:sz w:val="24"/>
                <w:szCs w:val="24"/>
              </w:rPr>
            </w:pPr>
            <w:r>
              <w:rPr>
                <w:rFonts w:hint="eastAsia" w:eastAsia="宋体" w:cs="宋体"/>
                <w:kern w:val="0"/>
                <w:sz w:val="24"/>
                <w:szCs w:val="24"/>
              </w:rPr>
              <w:t>本项目排放生活污水合计759.2</w:t>
            </w:r>
            <w:r>
              <w:rPr>
                <w:rFonts w:eastAsia="宋体" w:cs="宋体"/>
                <w:kern w:val="0"/>
                <w:sz w:val="24"/>
                <w:szCs w:val="24"/>
              </w:rPr>
              <w:t>t/a</w:t>
            </w:r>
            <w:r>
              <w:rPr>
                <w:rFonts w:hint="eastAsia" w:eastAsia="宋体" w:cs="宋体"/>
                <w:kern w:val="0"/>
                <w:sz w:val="24"/>
                <w:szCs w:val="24"/>
              </w:rPr>
              <w:t>。经类比分析，项目生活污水主要污染物浓度分别为：</w:t>
            </w:r>
            <w:r>
              <w:rPr>
                <w:rFonts w:eastAsia="宋体" w:cs="宋体"/>
                <w:kern w:val="0"/>
                <w:sz w:val="24"/>
                <w:szCs w:val="24"/>
              </w:rPr>
              <w:t>COD</w:t>
            </w:r>
            <w:r>
              <w:rPr>
                <w:rFonts w:hint="eastAsia" w:eastAsia="宋体" w:cs="宋体"/>
                <w:kern w:val="0"/>
                <w:sz w:val="24"/>
                <w:szCs w:val="24"/>
              </w:rPr>
              <w:t>≤35</w:t>
            </w:r>
            <w:r>
              <w:rPr>
                <w:rFonts w:eastAsia="宋体" w:cs="宋体"/>
                <w:kern w:val="0"/>
                <w:sz w:val="24"/>
                <w:szCs w:val="24"/>
              </w:rPr>
              <w:t>0mg/L</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w:t>
            </w:r>
            <w:r>
              <w:rPr>
                <w:rFonts w:eastAsia="宋体" w:cs="宋体"/>
                <w:kern w:val="0"/>
                <w:sz w:val="24"/>
                <w:szCs w:val="24"/>
              </w:rPr>
              <w:t>250 mg/L</w:t>
            </w:r>
            <w:r>
              <w:rPr>
                <w:rFonts w:hint="eastAsia" w:eastAsia="宋体" w:cs="宋体"/>
                <w:kern w:val="0"/>
                <w:sz w:val="24"/>
                <w:szCs w:val="24"/>
              </w:rPr>
              <w:t>、氨氮≤30</w:t>
            </w:r>
            <w:r>
              <w:rPr>
                <w:rFonts w:eastAsia="宋体" w:cs="宋体"/>
                <w:kern w:val="0"/>
                <w:sz w:val="24"/>
                <w:szCs w:val="24"/>
              </w:rPr>
              <w:t xml:space="preserve"> mg/L</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3mg/L</w:t>
            </w:r>
            <w:r>
              <w:rPr>
                <w:rFonts w:hint="eastAsia" w:eastAsia="宋体" w:cs="宋体"/>
                <w:kern w:val="0"/>
                <w:sz w:val="24"/>
                <w:szCs w:val="24"/>
              </w:rPr>
              <w:t>、TN≤50</w:t>
            </w:r>
            <w:r>
              <w:rPr>
                <w:rFonts w:eastAsia="宋体" w:cs="宋体"/>
                <w:kern w:val="0"/>
                <w:sz w:val="24"/>
                <w:szCs w:val="24"/>
              </w:rPr>
              <w:t>mg/L</w:t>
            </w:r>
            <w:r>
              <w:rPr>
                <w:rFonts w:hint="eastAsia" w:eastAsia="宋体" w:cs="宋体"/>
                <w:kern w:val="0"/>
                <w:sz w:val="24"/>
                <w:szCs w:val="24"/>
              </w:rPr>
              <w:t>，经化粪池处理后达到沭阳县城东污水处理厂接管标准后，排入市政污水管网，由沭阳县城东污水处理厂统一处理后排放。污水处理厂排放标准执行《城镇污水处理厂污染物排放标准》（</w:t>
            </w:r>
            <w:r>
              <w:rPr>
                <w:rFonts w:eastAsia="宋体" w:cs="宋体"/>
                <w:kern w:val="0"/>
                <w:sz w:val="24"/>
                <w:szCs w:val="24"/>
              </w:rPr>
              <w:t>GB18918-2002</w:t>
            </w:r>
            <w:r>
              <w:rPr>
                <w:rFonts w:hint="eastAsia" w:eastAsia="宋体" w:cs="宋体"/>
                <w:kern w:val="0"/>
                <w:sz w:val="24"/>
                <w:szCs w:val="24"/>
              </w:rPr>
              <w:t>）一级A标准。排入市政污水管网的各污染物排放量分别为</w:t>
            </w:r>
            <w:r>
              <w:rPr>
                <w:rFonts w:eastAsia="宋体" w:cs="宋体"/>
                <w:kern w:val="0"/>
                <w:sz w:val="24"/>
                <w:szCs w:val="24"/>
              </w:rPr>
              <w:t>COD</w:t>
            </w:r>
            <w:r>
              <w:rPr>
                <w:rFonts w:hint="eastAsia" w:eastAsia="宋体" w:cs="宋体"/>
                <w:kern w:val="0"/>
                <w:sz w:val="24"/>
                <w:szCs w:val="24"/>
              </w:rPr>
              <w:t>≤0.228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≤0.15</w:t>
            </w:r>
            <w:r>
              <w:rPr>
                <w:rFonts w:eastAsia="宋体" w:cs="宋体"/>
                <w:kern w:val="0"/>
                <w:sz w:val="24"/>
                <w:szCs w:val="24"/>
              </w:rPr>
              <w:t>t/a</w:t>
            </w:r>
            <w:r>
              <w:rPr>
                <w:rFonts w:hint="eastAsia" w:eastAsia="宋体" w:cs="宋体"/>
                <w:kern w:val="0"/>
                <w:sz w:val="24"/>
                <w:szCs w:val="24"/>
              </w:rPr>
              <w:t>、氨氮≤0.019</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0.00</w:t>
            </w:r>
            <w:r>
              <w:rPr>
                <w:rFonts w:hint="eastAsia" w:eastAsia="宋体" w:cs="宋体"/>
                <w:kern w:val="0"/>
                <w:sz w:val="24"/>
                <w:szCs w:val="24"/>
              </w:rPr>
              <w:t>23</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N≤0.034</w:t>
            </w:r>
            <w:r>
              <w:rPr>
                <w:rFonts w:eastAsia="宋体" w:cs="宋体"/>
                <w:kern w:val="0"/>
                <w:sz w:val="24"/>
                <w:szCs w:val="24"/>
              </w:rPr>
              <w:t>t/a</w:t>
            </w:r>
            <w:r>
              <w:rPr>
                <w:rFonts w:hint="eastAsia" w:eastAsia="宋体" w:cs="宋体"/>
                <w:kern w:val="0"/>
                <w:sz w:val="24"/>
                <w:szCs w:val="24"/>
              </w:rPr>
              <w:t>，经污水处理厂进一步处理后排入河体环境的各污染物排放量分别为</w:t>
            </w:r>
            <w:r>
              <w:rPr>
                <w:rFonts w:eastAsia="宋体" w:cs="宋体"/>
                <w:kern w:val="0"/>
                <w:sz w:val="24"/>
                <w:szCs w:val="24"/>
              </w:rPr>
              <w:t>COD</w:t>
            </w:r>
            <w:r>
              <w:rPr>
                <w:rFonts w:hint="eastAsia" w:eastAsia="宋体" w:cs="宋体"/>
                <w:kern w:val="0"/>
                <w:sz w:val="24"/>
                <w:szCs w:val="24"/>
              </w:rPr>
              <w:t>≤0.038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≤0.0076</w:t>
            </w:r>
            <w:r>
              <w:rPr>
                <w:rFonts w:eastAsia="宋体" w:cs="宋体"/>
                <w:kern w:val="0"/>
                <w:sz w:val="24"/>
                <w:szCs w:val="24"/>
              </w:rPr>
              <w:t>t/a</w:t>
            </w:r>
            <w:r>
              <w:rPr>
                <w:rFonts w:hint="eastAsia" w:eastAsia="宋体" w:cs="宋体"/>
                <w:kern w:val="0"/>
                <w:sz w:val="24"/>
                <w:szCs w:val="24"/>
              </w:rPr>
              <w:t>、氨氮≤</w:t>
            </w:r>
            <w:r>
              <w:rPr>
                <w:rFonts w:eastAsia="宋体" w:cs="宋体"/>
                <w:kern w:val="0"/>
                <w:sz w:val="24"/>
                <w:szCs w:val="24"/>
              </w:rPr>
              <w:t>0.</w:t>
            </w:r>
            <w:r>
              <w:rPr>
                <w:rFonts w:hint="eastAsia" w:eastAsia="宋体" w:cs="宋体"/>
                <w:kern w:val="0"/>
                <w:sz w:val="24"/>
                <w:szCs w:val="24"/>
              </w:rPr>
              <w:t>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0.</w:t>
            </w:r>
            <w:r>
              <w:rPr>
                <w:rFonts w:hint="eastAsia" w:eastAsia="宋体" w:cs="宋体"/>
                <w:kern w:val="0"/>
                <w:sz w:val="24"/>
                <w:szCs w:val="24"/>
              </w:rPr>
              <w:t>0061</w:t>
            </w:r>
            <w:r>
              <w:rPr>
                <w:rFonts w:eastAsia="宋体" w:cs="宋体"/>
                <w:kern w:val="0"/>
                <w:sz w:val="24"/>
                <w:szCs w:val="24"/>
              </w:rPr>
              <w:t>t/a</w:t>
            </w:r>
            <w:r>
              <w:rPr>
                <w:rFonts w:hint="eastAsia" w:eastAsia="宋体" w:cs="宋体"/>
                <w:kern w:val="0"/>
                <w:sz w:val="24"/>
                <w:szCs w:val="24"/>
              </w:rPr>
              <w:t>）</w:t>
            </w:r>
            <w:r>
              <w:rPr>
                <w:rFonts w:hint="eastAsia" w:eastAsia="宋体" w:cs="宋体"/>
                <w:bCs/>
                <w:kern w:val="0"/>
                <w:sz w:val="24"/>
                <w:szCs w:val="24"/>
              </w:rPr>
              <w:t>（</w:t>
            </w:r>
            <w:r>
              <w:rPr>
                <w:rFonts w:hint="eastAsia" w:eastAsia="宋体" w:cs="宋体"/>
                <w:kern w:val="0"/>
                <w:sz w:val="21"/>
                <w:szCs w:val="21"/>
              </w:rPr>
              <w:t>氨氮标准中括号外围水温＞</w:t>
            </w:r>
            <w:r>
              <w:rPr>
                <w:rFonts w:eastAsia="宋体" w:cs="宋体"/>
                <w:kern w:val="0"/>
                <w:sz w:val="21"/>
                <w:szCs w:val="21"/>
              </w:rPr>
              <w:t>12</w:t>
            </w:r>
            <w:r>
              <w:rPr>
                <w:rFonts w:hint="eastAsia" w:eastAsia="宋体" w:cs="宋体"/>
                <w:kern w:val="0"/>
                <w:sz w:val="21"/>
                <w:szCs w:val="21"/>
              </w:rPr>
              <w:t>度时的控制值，括号内为水温≤</w:t>
            </w:r>
            <w:r>
              <w:rPr>
                <w:rFonts w:eastAsia="宋体" w:cs="宋体"/>
                <w:kern w:val="0"/>
                <w:sz w:val="21"/>
                <w:szCs w:val="21"/>
              </w:rPr>
              <w:t>12</w:t>
            </w:r>
            <w:r>
              <w:rPr>
                <w:rFonts w:hint="eastAsia" w:eastAsia="宋体" w:cs="宋体"/>
                <w:kern w:val="0"/>
                <w:sz w:val="21"/>
                <w:szCs w:val="21"/>
              </w:rPr>
              <w:t>时的控制值</w:t>
            </w:r>
            <w:r>
              <w:rPr>
                <w:rFonts w:hint="eastAsia" w:eastAsia="宋体" w:cs="宋体"/>
                <w:bCs/>
                <w:kern w:val="0"/>
                <w:sz w:val="24"/>
                <w:szCs w:val="24"/>
              </w:rPr>
              <w:t>）</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≤0.00038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N≤0.0114</w:t>
            </w:r>
            <w:r>
              <w:rPr>
                <w:rFonts w:eastAsia="宋体" w:cs="宋体"/>
                <w:kern w:val="0"/>
                <w:sz w:val="24"/>
                <w:szCs w:val="24"/>
              </w:rPr>
              <w:t>t/a</w:t>
            </w:r>
            <w:r>
              <w:rPr>
                <w:rFonts w:hint="eastAsia" w:eastAsia="宋体" w:cs="宋体"/>
                <w:kern w:val="0"/>
                <w:sz w:val="24"/>
                <w:szCs w:val="24"/>
              </w:rPr>
              <w:t>。综上所述，项目废水排入沭阳县城东污水处理厂集中处理，不会对周边水环境造成不利影响。</w:t>
            </w:r>
          </w:p>
          <w:p>
            <w:pPr>
              <w:tabs>
                <w:tab w:val="left" w:pos="1680"/>
              </w:tabs>
              <w:ind w:firstLine="480" w:firstLineChars="200"/>
              <w:rPr>
                <w:rFonts w:eastAsia="宋体"/>
                <w:bCs/>
                <w:kern w:val="0"/>
                <w:sz w:val="24"/>
                <w:szCs w:val="24"/>
              </w:rPr>
            </w:pPr>
            <w:r>
              <w:rPr>
                <w:rFonts w:hint="eastAsia" w:eastAsia="宋体"/>
                <w:bCs/>
                <w:kern w:val="0"/>
                <w:sz w:val="24"/>
                <w:szCs w:val="24"/>
              </w:rPr>
              <w:t>排入沭阳县城东污水处理厂可行性分析：</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沭阳县城东污水处理厂的接管浓度为</w:t>
            </w:r>
            <w:r>
              <w:rPr>
                <w:rFonts w:eastAsia="宋体" w:cs="宋体"/>
                <w:kern w:val="0"/>
                <w:sz w:val="24"/>
                <w:szCs w:val="24"/>
              </w:rPr>
              <w:t>COD≤</w:t>
            </w:r>
            <w:r>
              <w:rPr>
                <w:rFonts w:hint="eastAsia" w:eastAsia="宋体" w:cs="宋体"/>
                <w:kern w:val="0"/>
                <w:sz w:val="24"/>
                <w:szCs w:val="24"/>
              </w:rPr>
              <w:t>400</w:t>
            </w:r>
            <w:r>
              <w:rPr>
                <w:rFonts w:eastAsia="宋体" w:cs="宋体"/>
                <w:kern w:val="0"/>
                <w:sz w:val="24"/>
                <w:szCs w:val="24"/>
              </w:rPr>
              <w:t>mg/L</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20</w:t>
            </w:r>
            <w:r>
              <w:rPr>
                <w:rFonts w:eastAsia="宋体" w:cs="宋体"/>
                <w:kern w:val="0"/>
                <w:sz w:val="24"/>
                <w:szCs w:val="24"/>
              </w:rPr>
              <w:t>0mg/L</w:t>
            </w:r>
            <w:r>
              <w:rPr>
                <w:rFonts w:hint="eastAsia" w:eastAsia="宋体" w:cs="宋体"/>
                <w:kern w:val="0"/>
                <w:sz w:val="24"/>
                <w:szCs w:val="24"/>
              </w:rPr>
              <w:t>、</w:t>
            </w:r>
            <w:r>
              <w:rPr>
                <w:rFonts w:eastAsia="宋体" w:cs="宋体"/>
                <w:kern w:val="0"/>
                <w:sz w:val="24"/>
                <w:szCs w:val="24"/>
              </w:rPr>
              <w:t>NH</w:t>
            </w:r>
            <w:r>
              <w:rPr>
                <w:rFonts w:eastAsia="宋体" w:cs="宋体"/>
                <w:kern w:val="0"/>
                <w:sz w:val="24"/>
                <w:szCs w:val="24"/>
                <w:vertAlign w:val="subscript"/>
              </w:rPr>
              <w:t>3</w:t>
            </w:r>
            <w:r>
              <w:rPr>
                <w:rFonts w:eastAsia="宋体" w:cs="宋体"/>
                <w:kern w:val="0"/>
                <w:sz w:val="24"/>
                <w:szCs w:val="24"/>
              </w:rPr>
              <w:t>-N≤</w:t>
            </w:r>
            <w:r>
              <w:rPr>
                <w:rFonts w:hint="eastAsia" w:eastAsia="宋体" w:cs="宋体"/>
                <w:kern w:val="0"/>
                <w:sz w:val="24"/>
                <w:szCs w:val="24"/>
              </w:rPr>
              <w:t>35</w:t>
            </w:r>
            <w:r>
              <w:rPr>
                <w:rFonts w:eastAsia="宋体" w:cs="宋体"/>
                <w:kern w:val="0"/>
                <w:sz w:val="24"/>
                <w:szCs w:val="24"/>
              </w:rPr>
              <w:t>mg/L</w:t>
            </w:r>
            <w:r>
              <w:rPr>
                <w:rFonts w:hint="eastAsia" w:eastAsia="宋体" w:cs="宋体"/>
                <w:kern w:val="0"/>
                <w:sz w:val="24"/>
                <w:szCs w:val="24"/>
              </w:rPr>
              <w:t>、</w:t>
            </w:r>
            <w:r>
              <w:rPr>
                <w:rFonts w:eastAsia="宋体" w:cs="宋体"/>
                <w:kern w:val="0"/>
                <w:sz w:val="24"/>
                <w:szCs w:val="24"/>
              </w:rPr>
              <w:t>TP≤</w:t>
            </w:r>
            <w:r>
              <w:rPr>
                <w:rFonts w:hint="eastAsia" w:eastAsia="宋体" w:cs="宋体"/>
                <w:kern w:val="0"/>
                <w:sz w:val="24"/>
                <w:szCs w:val="24"/>
              </w:rPr>
              <w:t>8.0</w:t>
            </w:r>
            <w:r>
              <w:rPr>
                <w:rFonts w:eastAsia="宋体" w:cs="宋体"/>
                <w:kern w:val="0"/>
                <w:sz w:val="24"/>
                <w:szCs w:val="24"/>
              </w:rPr>
              <w:t>mg/L</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w:t>
            </w:r>
            <w:r>
              <w:rPr>
                <w:rFonts w:eastAsia="宋体" w:cs="宋体"/>
                <w:kern w:val="0"/>
                <w:sz w:val="24"/>
                <w:szCs w:val="24"/>
              </w:rPr>
              <w:t>≤</w:t>
            </w:r>
            <w:r>
              <w:rPr>
                <w:rFonts w:hint="eastAsia" w:eastAsia="宋体" w:cs="宋体"/>
                <w:kern w:val="0"/>
                <w:sz w:val="24"/>
                <w:szCs w:val="24"/>
              </w:rPr>
              <w:t>45</w:t>
            </w:r>
            <w:r>
              <w:rPr>
                <w:rFonts w:eastAsia="宋体" w:cs="宋体"/>
                <w:kern w:val="0"/>
                <w:sz w:val="24"/>
                <w:szCs w:val="24"/>
              </w:rPr>
              <w:t>mg/L</w:t>
            </w:r>
            <w:r>
              <w:rPr>
                <w:rFonts w:hint="eastAsia" w:eastAsia="宋体" w:cs="宋体"/>
                <w:kern w:val="0"/>
                <w:sz w:val="24"/>
                <w:szCs w:val="24"/>
              </w:rPr>
              <w:t>，项目排入污水厂的污水浓度为</w:t>
            </w:r>
            <w:r>
              <w:rPr>
                <w:rFonts w:eastAsia="宋体" w:cs="宋体"/>
                <w:kern w:val="0"/>
                <w:sz w:val="24"/>
                <w:szCs w:val="24"/>
              </w:rPr>
              <w:t>COD≤</w:t>
            </w:r>
            <w:r>
              <w:rPr>
                <w:rFonts w:hint="eastAsia" w:eastAsia="宋体" w:cs="宋体"/>
                <w:kern w:val="0"/>
                <w:sz w:val="24"/>
                <w:szCs w:val="24"/>
              </w:rPr>
              <w:t>30</w:t>
            </w:r>
            <w:r>
              <w:rPr>
                <w:rFonts w:eastAsia="宋体" w:cs="宋体"/>
                <w:kern w:val="0"/>
                <w:sz w:val="24"/>
                <w:szCs w:val="24"/>
              </w:rPr>
              <w:t>0mg/L</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20</w:t>
            </w:r>
            <w:r>
              <w:rPr>
                <w:rFonts w:eastAsia="宋体" w:cs="宋体"/>
                <w:kern w:val="0"/>
                <w:sz w:val="24"/>
                <w:szCs w:val="24"/>
              </w:rPr>
              <w:t>0mg/L</w:t>
            </w:r>
            <w:r>
              <w:rPr>
                <w:rFonts w:hint="eastAsia" w:eastAsia="宋体" w:cs="宋体"/>
                <w:kern w:val="0"/>
                <w:sz w:val="24"/>
                <w:szCs w:val="24"/>
              </w:rPr>
              <w:t>、</w:t>
            </w:r>
            <w:r>
              <w:rPr>
                <w:rFonts w:eastAsia="宋体" w:cs="宋体"/>
                <w:kern w:val="0"/>
                <w:sz w:val="24"/>
                <w:szCs w:val="24"/>
              </w:rPr>
              <w:t>NH</w:t>
            </w:r>
            <w:r>
              <w:rPr>
                <w:rFonts w:eastAsia="宋体" w:cs="宋体"/>
                <w:kern w:val="0"/>
                <w:sz w:val="24"/>
                <w:szCs w:val="24"/>
                <w:vertAlign w:val="subscript"/>
              </w:rPr>
              <w:t>3</w:t>
            </w:r>
            <w:r>
              <w:rPr>
                <w:rFonts w:eastAsia="宋体" w:cs="宋体"/>
                <w:kern w:val="0"/>
                <w:sz w:val="24"/>
                <w:szCs w:val="24"/>
              </w:rPr>
              <w:t>-N≤</w:t>
            </w:r>
            <w:r>
              <w:rPr>
                <w:rFonts w:hint="eastAsia" w:eastAsia="宋体" w:cs="宋体"/>
                <w:kern w:val="0"/>
                <w:sz w:val="24"/>
                <w:szCs w:val="24"/>
              </w:rPr>
              <w:t>2</w:t>
            </w:r>
            <w:r>
              <w:rPr>
                <w:rFonts w:eastAsia="宋体" w:cs="宋体"/>
                <w:kern w:val="0"/>
                <w:sz w:val="24"/>
                <w:szCs w:val="24"/>
              </w:rPr>
              <w:t>5mg/L</w:t>
            </w:r>
            <w:r>
              <w:rPr>
                <w:rFonts w:hint="eastAsia" w:eastAsia="宋体" w:cs="宋体"/>
                <w:kern w:val="0"/>
                <w:sz w:val="24"/>
                <w:szCs w:val="24"/>
              </w:rPr>
              <w:t>、</w:t>
            </w:r>
            <w:r>
              <w:rPr>
                <w:rFonts w:eastAsia="宋体" w:cs="宋体"/>
                <w:kern w:val="0"/>
                <w:sz w:val="24"/>
                <w:szCs w:val="24"/>
              </w:rPr>
              <w:t>TP≤3mg/L</w:t>
            </w:r>
            <w:r>
              <w:rPr>
                <w:rFonts w:hint="eastAsia" w:eastAsia="宋体" w:cs="宋体"/>
                <w:kern w:val="0"/>
                <w:sz w:val="24"/>
                <w:szCs w:val="24"/>
              </w:rPr>
              <w:t>、TN≤45</w:t>
            </w:r>
            <w:r>
              <w:rPr>
                <w:rFonts w:eastAsia="宋体" w:cs="宋体"/>
                <w:kern w:val="0"/>
                <w:sz w:val="24"/>
                <w:szCs w:val="24"/>
              </w:rPr>
              <w:t>mg/L</w:t>
            </w:r>
            <w:r>
              <w:rPr>
                <w:rFonts w:hint="eastAsia" w:eastAsia="宋体" w:cs="宋体"/>
                <w:kern w:val="0"/>
                <w:sz w:val="24"/>
                <w:szCs w:val="24"/>
              </w:rPr>
              <w:t>，故本项目的污水浓度符合沭阳县城东污水处理厂的接管标准。目前沭阳县城东污水处理厂正常运行，本项目所在区域属于沭阳县城东污水处理厂收水范围。目前该区域的污水管网已经铺设到位，因此，沭阳县城东污水处理厂具有接纳本项目生活污水的可行性。</w:t>
            </w:r>
          </w:p>
          <w:p>
            <w:pPr>
              <w:ind w:firstLine="482" w:firstLineChars="200"/>
              <w:rPr>
                <w:rFonts w:eastAsia="宋体"/>
                <w:b/>
                <w:sz w:val="24"/>
                <w:szCs w:val="24"/>
              </w:rPr>
            </w:pPr>
            <w:r>
              <w:rPr>
                <w:rFonts w:hint="eastAsia" w:eastAsia="宋体"/>
                <w:b/>
                <w:sz w:val="24"/>
                <w:szCs w:val="24"/>
              </w:rPr>
              <w:t>7.2.3</w:t>
            </w:r>
            <w:r>
              <w:rPr>
                <w:rFonts w:eastAsia="宋体"/>
                <w:b/>
                <w:sz w:val="24"/>
                <w:szCs w:val="24"/>
              </w:rPr>
              <w:t>噪声环境影响分析</w:t>
            </w:r>
          </w:p>
          <w:p>
            <w:pPr>
              <w:adjustRightInd w:val="0"/>
              <w:snapToGrid w:val="0"/>
              <w:ind w:firstLine="480" w:firstLineChars="200"/>
            </w:pPr>
            <w:r>
              <w:rPr>
                <w:rFonts w:eastAsia="宋体"/>
                <w:bCs/>
                <w:sz w:val="24"/>
                <w:szCs w:val="24"/>
              </w:rPr>
              <w:t>本项目噪声主要来源于车辆在进出加油站时产生的交通噪声</w:t>
            </w:r>
            <w:r>
              <w:rPr>
                <w:rFonts w:hint="eastAsia" w:eastAsia="宋体"/>
                <w:bCs/>
                <w:sz w:val="24"/>
                <w:szCs w:val="24"/>
              </w:rPr>
              <w:t>，</w:t>
            </w:r>
            <w:r>
              <w:rPr>
                <w:rFonts w:eastAsia="宋体"/>
                <w:bCs/>
                <w:sz w:val="24"/>
                <w:szCs w:val="24"/>
              </w:rPr>
              <w:t>和加油机加油时产生的噪声</w:t>
            </w:r>
            <w:r>
              <w:rPr>
                <w:rFonts w:eastAsia="宋体"/>
                <w:sz w:val="24"/>
                <w:szCs w:val="24"/>
              </w:rPr>
              <w:t>。</w:t>
            </w:r>
            <w:r>
              <w:rPr>
                <w:rFonts w:eastAsia="宋体"/>
                <w:bCs/>
                <w:sz w:val="24"/>
                <w:szCs w:val="24"/>
              </w:rPr>
              <w:t>进出车辆噪声值为</w:t>
            </w:r>
            <w:r>
              <w:rPr>
                <w:rFonts w:hint="eastAsia" w:eastAsia="宋体"/>
                <w:bCs/>
                <w:sz w:val="24"/>
                <w:szCs w:val="24"/>
              </w:rPr>
              <w:t>65</w:t>
            </w:r>
            <w:r>
              <w:rPr>
                <w:rFonts w:eastAsia="宋体"/>
                <w:bCs/>
                <w:sz w:val="24"/>
                <w:szCs w:val="24"/>
              </w:rPr>
              <w:t>dB（A）</w:t>
            </w:r>
            <w:r>
              <w:rPr>
                <w:rFonts w:hint="eastAsia" w:eastAsia="宋体"/>
                <w:bCs/>
                <w:sz w:val="24"/>
                <w:szCs w:val="24"/>
              </w:rPr>
              <w:t>左右</w:t>
            </w:r>
            <w:r>
              <w:rPr>
                <w:rFonts w:eastAsia="宋体"/>
                <w:bCs/>
                <w:sz w:val="24"/>
                <w:szCs w:val="24"/>
              </w:rPr>
              <w:t>，汽车在加油站内发动机处于关闭状态，禁止鸣笛，所以噪声影响不大。</w:t>
            </w:r>
            <w:r>
              <w:rPr>
                <w:rFonts w:eastAsia="宋体"/>
                <w:sz w:val="24"/>
                <w:szCs w:val="24"/>
              </w:rPr>
              <w:t>夜间加油车辆较少，再加上距离衰减，夜间偶发噪声的最大声级超过限值的幅度不高于15dB（A），对外界影响较小；加油机、潜油泵等噪声源强见表</w:t>
            </w:r>
            <w:r>
              <w:rPr>
                <w:rFonts w:hint="eastAsia" w:eastAsia="宋体"/>
                <w:sz w:val="24"/>
                <w:szCs w:val="24"/>
              </w:rPr>
              <w:t>7-14</w:t>
            </w:r>
            <w:r>
              <w:rPr>
                <w:rFonts w:eastAsia="宋体"/>
                <w:sz w:val="24"/>
                <w:szCs w:val="24"/>
              </w:rPr>
              <w:t>。</w:t>
            </w:r>
          </w:p>
          <w:p>
            <w:pPr>
              <w:adjustRightInd w:val="0"/>
              <w:snapToGrid w:val="0"/>
              <w:ind w:firstLine="482" w:firstLineChars="200"/>
              <w:jc w:val="center"/>
              <w:rPr>
                <w:rFonts w:eastAsia="宋体"/>
                <w:b/>
                <w:bCs/>
                <w:sz w:val="24"/>
                <w:szCs w:val="24"/>
              </w:rPr>
            </w:pPr>
            <w:r>
              <w:rPr>
                <w:rFonts w:eastAsia="宋体"/>
                <w:b/>
                <w:bCs/>
                <w:sz w:val="24"/>
                <w:szCs w:val="24"/>
              </w:rPr>
              <w:t>表</w:t>
            </w:r>
            <w:r>
              <w:rPr>
                <w:rFonts w:hint="eastAsia" w:eastAsia="宋体"/>
                <w:b/>
                <w:bCs/>
                <w:sz w:val="24"/>
                <w:szCs w:val="24"/>
              </w:rPr>
              <w:t>7-14</w:t>
            </w:r>
            <w:r>
              <w:rPr>
                <w:rFonts w:eastAsia="宋体"/>
                <w:b/>
                <w:bCs/>
                <w:sz w:val="24"/>
                <w:szCs w:val="24"/>
              </w:rPr>
              <w:t xml:space="preserve">  本项目主要噪声</w:t>
            </w:r>
            <w:r>
              <w:rPr>
                <w:rFonts w:hint="eastAsia" w:eastAsia="宋体"/>
                <w:b/>
                <w:bCs/>
                <w:sz w:val="24"/>
                <w:szCs w:val="24"/>
              </w:rPr>
              <w:t>源及</w:t>
            </w:r>
            <w:r>
              <w:rPr>
                <w:rFonts w:eastAsia="宋体"/>
                <w:b/>
                <w:bCs/>
                <w:sz w:val="24"/>
                <w:szCs w:val="24"/>
              </w:rPr>
              <w:t>源强</w:t>
            </w:r>
          </w:p>
          <w:tbl>
            <w:tblPr>
              <w:tblStyle w:val="28"/>
              <w:tblW w:w="91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94"/>
              <w:gridCol w:w="1417"/>
              <w:gridCol w:w="1134"/>
              <w:gridCol w:w="1843"/>
              <w:gridCol w:w="2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噪声来源</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源强dB（A）</w:t>
                  </w:r>
                </w:p>
              </w:tc>
              <w:tc>
                <w:tcPr>
                  <w:tcW w:w="11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排放特征</w:t>
                  </w:r>
                </w:p>
              </w:tc>
              <w:tc>
                <w:tcPr>
                  <w:tcW w:w="1843"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降噪措施</w:t>
                  </w:r>
                </w:p>
              </w:tc>
              <w:tc>
                <w:tcPr>
                  <w:tcW w:w="2039" w:type="dxa"/>
                  <w:vAlign w:val="center"/>
                </w:tcPr>
                <w:p>
                  <w:pPr>
                    <w:widowControl w:val="0"/>
                    <w:tabs>
                      <w:tab w:val="center" w:pos="4153"/>
                      <w:tab w:val="right" w:pos="8306"/>
                    </w:tabs>
                    <w:snapToGrid w:val="0"/>
                    <w:spacing w:line="240" w:lineRule="auto"/>
                    <w:ind w:firstLine="105" w:firstLineChars="50"/>
                    <w:jc w:val="center"/>
                    <w:rPr>
                      <w:rFonts w:eastAsia="宋体"/>
                      <w:sz w:val="21"/>
                      <w:szCs w:val="21"/>
                    </w:rPr>
                  </w:pPr>
                  <w:r>
                    <w:rPr>
                      <w:rFonts w:eastAsia="宋体"/>
                      <w:sz w:val="21"/>
                      <w:szCs w:val="21"/>
                    </w:rPr>
                    <w:t>治理后噪声dB（A）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交通噪声</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65</w:t>
                  </w:r>
                </w:p>
              </w:tc>
              <w:tc>
                <w:tcPr>
                  <w:tcW w:w="1134" w:type="dxa"/>
                  <w:vMerge w:val="restart"/>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间歇</w:t>
                  </w: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减速慢行、禁鸣等</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加油机</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60-65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潜油泵</w:t>
                  </w:r>
                </w:p>
              </w:tc>
              <w:tc>
                <w:tcPr>
                  <w:tcW w:w="994"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70-75</w:t>
                  </w:r>
                </w:p>
              </w:tc>
              <w:tc>
                <w:tcPr>
                  <w:tcW w:w="1134" w:type="dxa"/>
                  <w:vMerge w:val="continue"/>
                  <w:vAlign w:val="center"/>
                </w:tcPr>
                <w:p>
                  <w:pPr>
                    <w:widowControl w:val="0"/>
                    <w:tabs>
                      <w:tab w:val="center" w:pos="4153"/>
                      <w:tab w:val="right" w:pos="8306"/>
                    </w:tabs>
                    <w:snapToGrid w:val="0"/>
                    <w:spacing w:line="240" w:lineRule="auto"/>
                    <w:jc w:val="center"/>
                    <w:rPr>
                      <w:rFonts w:eastAsia="宋体"/>
                      <w:sz w:val="21"/>
                      <w:szCs w:val="21"/>
                    </w:rPr>
                  </w:pPr>
                </w:p>
              </w:tc>
              <w:tc>
                <w:tcPr>
                  <w:tcW w:w="184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隔声、减震</w:t>
                  </w:r>
                </w:p>
              </w:tc>
              <w:tc>
                <w:tcPr>
                  <w:tcW w:w="2039"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55</w:t>
                  </w:r>
                </w:p>
              </w:tc>
            </w:tr>
          </w:tbl>
          <w:p>
            <w:pPr>
              <w:tabs>
                <w:tab w:val="left" w:pos="360"/>
              </w:tabs>
              <w:snapToGrid w:val="0"/>
              <w:ind w:firstLine="460" w:firstLineChars="192"/>
              <w:rPr>
                <w:rFonts w:eastAsia="宋体"/>
                <w:sz w:val="24"/>
                <w:szCs w:val="24"/>
              </w:rPr>
            </w:pPr>
            <w:r>
              <w:rPr>
                <w:rFonts w:hint="eastAsia" w:eastAsia="宋体"/>
                <w:sz w:val="24"/>
                <w:szCs w:val="24"/>
              </w:rPr>
              <w:t>项目</w:t>
            </w:r>
            <w:r>
              <w:rPr>
                <w:rFonts w:eastAsia="宋体"/>
                <w:sz w:val="24"/>
                <w:szCs w:val="24"/>
              </w:rPr>
              <w:t>在设计和设备定货时</w:t>
            </w:r>
            <w:r>
              <w:rPr>
                <w:rFonts w:hint="eastAsia" w:eastAsia="宋体"/>
                <w:sz w:val="24"/>
                <w:szCs w:val="24"/>
              </w:rPr>
              <w:t>，</w:t>
            </w:r>
            <w:r>
              <w:rPr>
                <w:rFonts w:eastAsia="宋体"/>
                <w:sz w:val="24"/>
                <w:szCs w:val="24"/>
              </w:rPr>
              <w:t>该加油站已经向制造厂商提出噪声控制要求，并对泵体等噪声高的设备采取了隔音降噪的措施。</w:t>
            </w:r>
            <w:r>
              <w:rPr>
                <w:rFonts w:hint="eastAsia" w:eastAsia="宋体"/>
                <w:sz w:val="24"/>
                <w:szCs w:val="24"/>
              </w:rPr>
              <w:t>严格运输过程的管理，减速慢行、严禁鸣笛等。在采取降噪、隔声、设备合理布局等措施后，再经距离衰减，</w:t>
            </w:r>
            <w:r>
              <w:rPr>
                <w:rFonts w:hint="eastAsia" w:eastAsia="宋体"/>
                <w:bCs/>
                <w:color w:val="auto"/>
                <w:sz w:val="24"/>
                <w:szCs w:val="24"/>
              </w:rPr>
              <w:t>参考类似加油站项目的验收检测数据（《中国石化销售股份有限公司泗阳泗水大道加油站项目》验收检测报告），厂界最大噪声值为昼间54.5</w:t>
            </w:r>
            <w:r>
              <w:rPr>
                <w:rFonts w:eastAsia="宋体"/>
                <w:color w:val="auto"/>
                <w:sz w:val="24"/>
                <w:szCs w:val="24"/>
              </w:rPr>
              <w:t xml:space="preserve"> dB（A）</w:t>
            </w:r>
            <w:r>
              <w:rPr>
                <w:rFonts w:hint="eastAsia" w:eastAsia="宋体"/>
                <w:color w:val="auto"/>
                <w:sz w:val="24"/>
                <w:szCs w:val="24"/>
              </w:rPr>
              <w:t>、夜间47.1</w:t>
            </w:r>
            <w:r>
              <w:rPr>
                <w:rFonts w:eastAsia="宋体"/>
                <w:color w:val="auto"/>
                <w:sz w:val="24"/>
                <w:szCs w:val="24"/>
              </w:rPr>
              <w:t xml:space="preserve"> dB（A）</w:t>
            </w:r>
            <w:r>
              <w:rPr>
                <w:rFonts w:hint="eastAsia" w:eastAsia="宋体"/>
                <w:color w:val="auto"/>
                <w:sz w:val="24"/>
                <w:szCs w:val="24"/>
              </w:rPr>
              <w:t>，</w:t>
            </w:r>
            <w:r>
              <w:rPr>
                <w:rFonts w:hint="eastAsia" w:eastAsia="宋体"/>
                <w:bCs/>
                <w:color w:val="auto"/>
                <w:sz w:val="24"/>
                <w:szCs w:val="24"/>
              </w:rPr>
              <w:t>厂界噪声可满足</w:t>
            </w:r>
            <w:r>
              <w:rPr>
                <w:rFonts w:eastAsia="宋体"/>
                <w:bCs/>
                <w:color w:val="auto"/>
                <w:sz w:val="24"/>
                <w:szCs w:val="24"/>
              </w:rPr>
              <w:t>《声环境质量标准》</w:t>
            </w:r>
            <w:r>
              <w:rPr>
                <w:rFonts w:hint="eastAsia" w:eastAsia="宋体"/>
                <w:bCs/>
                <w:color w:val="auto"/>
                <w:sz w:val="24"/>
                <w:szCs w:val="24"/>
              </w:rPr>
              <w:t>（</w:t>
            </w:r>
            <w:r>
              <w:rPr>
                <w:rFonts w:eastAsia="宋体"/>
                <w:bCs/>
                <w:color w:val="auto"/>
                <w:sz w:val="24"/>
                <w:szCs w:val="24"/>
              </w:rPr>
              <w:t>GB3096-2008</w:t>
            </w:r>
            <w:r>
              <w:rPr>
                <w:rFonts w:hint="eastAsia" w:eastAsia="宋体"/>
                <w:bCs/>
                <w:color w:val="auto"/>
                <w:sz w:val="24"/>
                <w:szCs w:val="24"/>
              </w:rPr>
              <w:t>）2</w:t>
            </w:r>
            <w:r>
              <w:rPr>
                <w:rFonts w:eastAsia="宋体"/>
                <w:bCs/>
                <w:color w:val="auto"/>
                <w:sz w:val="24"/>
                <w:szCs w:val="24"/>
              </w:rPr>
              <w:t>类标准要求</w:t>
            </w:r>
            <w:r>
              <w:rPr>
                <w:rFonts w:hint="eastAsia" w:eastAsia="宋体"/>
                <w:bCs/>
                <w:color w:val="auto"/>
                <w:sz w:val="24"/>
                <w:szCs w:val="24"/>
              </w:rPr>
              <w:t>，即</w:t>
            </w:r>
            <w:r>
              <w:rPr>
                <w:rFonts w:hint="eastAsia" w:eastAsia="宋体"/>
                <w:color w:val="auto"/>
                <w:sz w:val="24"/>
                <w:szCs w:val="24"/>
              </w:rPr>
              <w:t>昼间60dB(</w:t>
            </w:r>
            <w:r>
              <w:rPr>
                <w:rFonts w:hint="eastAsia" w:eastAsia="宋体"/>
                <w:sz w:val="24"/>
                <w:szCs w:val="24"/>
              </w:rPr>
              <w:t>A) 、夜间50dB(A)的要求，噪声对周围环境影响很小。</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7.2.4</w:t>
            </w:r>
            <w:r>
              <w:rPr>
                <w:rFonts w:ascii="Times New Roman" w:hAnsi="Times New Roman" w:cs="Times New Roman"/>
                <w:b/>
                <w:sz w:val="24"/>
                <w:szCs w:val="24"/>
              </w:rPr>
              <w:t>固废环境影响分析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项目年产生的生活垃圾约</w:t>
            </w:r>
            <w:r>
              <w:rPr>
                <w:rFonts w:hint="eastAsia" w:ascii="Times New Roman" w:hAnsi="Times New Roman" w:cs="Times New Roman"/>
                <w:sz w:val="24"/>
                <w:szCs w:val="24"/>
              </w:rPr>
              <w:t>9.49</w:t>
            </w:r>
            <w:r>
              <w:rPr>
                <w:rFonts w:ascii="Times New Roman" w:hAnsi="Times New Roman" w:cs="Times New Roman"/>
                <w:sz w:val="24"/>
                <w:szCs w:val="24"/>
              </w:rPr>
              <w:t>t/a，生活垃圾暂存于垃圾桶由当地环卫部门清运至垃圾填埋场卫生填埋。</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项目需定期</w:t>
            </w:r>
            <w:r>
              <w:rPr>
                <w:rFonts w:hint="eastAsia" w:ascii="Times New Roman" w:hAnsi="Times New Roman" w:cs="Times New Roman"/>
                <w:sz w:val="24"/>
                <w:szCs w:val="24"/>
              </w:rPr>
              <w:t>委托专业单位对油罐进行清理</w:t>
            </w:r>
            <w:r>
              <w:rPr>
                <w:rFonts w:ascii="Times New Roman" w:hAnsi="Times New Roman" w:cs="Times New Roman"/>
                <w:sz w:val="24"/>
                <w:szCs w:val="24"/>
              </w:rPr>
              <w:t>，清罐产生的油渣属于危险废物（HW08废矿物油）。油渣</w:t>
            </w:r>
            <w:r>
              <w:rPr>
                <w:rFonts w:hint="eastAsia" w:ascii="Times New Roman" w:hAnsi="Times New Roman" w:cs="Times New Roman"/>
                <w:sz w:val="24"/>
                <w:szCs w:val="24"/>
              </w:rPr>
              <w:t>清出后立即由清罐专业单位运至</w:t>
            </w:r>
            <w:r>
              <w:rPr>
                <w:rFonts w:ascii="Times New Roman" w:hAnsi="Times New Roman" w:cs="Times New Roman"/>
                <w:sz w:val="24"/>
                <w:szCs w:val="24"/>
              </w:rPr>
              <w:t>有资质单位安全处置</w:t>
            </w:r>
            <w:r>
              <w:rPr>
                <w:rFonts w:hint="eastAsia" w:ascii="Times New Roman" w:hAnsi="Times New Roman" w:cs="Times New Roman"/>
                <w:sz w:val="24"/>
                <w:szCs w:val="24"/>
              </w:rPr>
              <w:t>，因此本项目不设置危废库</w:t>
            </w:r>
            <w:r>
              <w:rPr>
                <w:rFonts w:ascii="Times New Roman" w:hAnsi="Times New Roman" w:cs="Times New Roman"/>
                <w:sz w:val="24"/>
                <w:szCs w:val="24"/>
              </w:rPr>
              <w:t>。建设项目固体废物利用处置方式评价详见表7-</w:t>
            </w:r>
            <w:r>
              <w:rPr>
                <w:rFonts w:hint="eastAsia" w:ascii="Times New Roman" w:hAnsi="Times New Roman" w:cs="Times New Roman"/>
                <w:sz w:val="24"/>
                <w:szCs w:val="24"/>
              </w:rPr>
              <w:t>15</w:t>
            </w:r>
            <w:r>
              <w:rPr>
                <w:rFonts w:ascii="Times New Roman" w:hAnsi="Times New Roman" w:cs="Times New Roman"/>
                <w:sz w:val="24"/>
                <w:szCs w:val="24"/>
              </w:rPr>
              <w:t>。</w:t>
            </w:r>
          </w:p>
          <w:p>
            <w:pPr>
              <w:pStyle w:val="13"/>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15</w:t>
            </w:r>
            <w:r>
              <w:rPr>
                <w:rFonts w:ascii="Times New Roman" w:hAnsi="Times New Roman" w:cs="Times New Roman"/>
                <w:b/>
                <w:sz w:val="24"/>
                <w:szCs w:val="24"/>
              </w:rPr>
              <w:t xml:space="preserve">  建设项目固体废物利用处置方式评价表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06"/>
              <w:gridCol w:w="1148"/>
              <w:gridCol w:w="1096"/>
              <w:gridCol w:w="1713"/>
              <w:gridCol w:w="1275"/>
              <w:gridCol w:w="1085"/>
              <w:gridCol w:w="1100"/>
              <w:gridCol w:w="114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固体废物名称</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工序</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属性（危险废物、一般工业固体废物或待鉴别）</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废物</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代码</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产生量</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利用处置方式</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利用处置单位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废油、油渣</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清罐</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危险固废</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900-249-08</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1.25t/3a</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焚烧</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委托有资质单位安全处置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148"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生活垃圾</w:t>
                  </w:r>
                </w:p>
              </w:tc>
              <w:tc>
                <w:tcPr>
                  <w:tcW w:w="109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职工生活</w:t>
                  </w:r>
                </w:p>
              </w:tc>
              <w:tc>
                <w:tcPr>
                  <w:tcW w:w="171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27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w:t>
                  </w:r>
                </w:p>
              </w:tc>
              <w:tc>
                <w:tcPr>
                  <w:tcW w:w="108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9.49t/a</w:t>
                  </w:r>
                </w:p>
              </w:tc>
              <w:tc>
                <w:tcPr>
                  <w:tcW w:w="1100"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环卫清运</w:t>
                  </w:r>
                </w:p>
              </w:tc>
              <w:tc>
                <w:tcPr>
                  <w:tcW w:w="11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环卫部门</w:t>
                  </w:r>
                </w:p>
              </w:tc>
            </w:tr>
          </w:tbl>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采取以上措施后，本项目产生的各种固体废物均得到了有效处理，不会造成二次污染，从环保角度考虑，固体废物防治措施可行。</w:t>
            </w:r>
          </w:p>
          <w:p>
            <w:pPr>
              <w:ind w:firstLine="482" w:firstLineChars="200"/>
              <w:rPr>
                <w:rFonts w:eastAsia="宋体"/>
                <w:b/>
                <w:sz w:val="24"/>
                <w:szCs w:val="24"/>
              </w:rPr>
            </w:pPr>
            <w:r>
              <w:rPr>
                <w:rFonts w:hint="eastAsia" w:eastAsia="宋体"/>
                <w:b/>
                <w:sz w:val="24"/>
                <w:szCs w:val="24"/>
              </w:rPr>
              <w:t>7.2.5</w:t>
            </w:r>
            <w:r>
              <w:rPr>
                <w:rFonts w:eastAsia="宋体"/>
                <w:b/>
                <w:sz w:val="24"/>
                <w:szCs w:val="24"/>
              </w:rPr>
              <w:t>地下水环境影响分析</w:t>
            </w:r>
          </w:p>
          <w:p>
            <w:pPr>
              <w:adjustRightInd w:val="0"/>
              <w:snapToGrid w:val="0"/>
              <w:ind w:firstLine="480" w:firstLineChars="200"/>
              <w:rPr>
                <w:rFonts w:eastAsia="宋体"/>
                <w:sz w:val="24"/>
                <w:szCs w:val="24"/>
              </w:rPr>
            </w:pPr>
            <w:r>
              <w:rPr>
                <w:rFonts w:hint="eastAsia" w:eastAsia="宋体"/>
                <w:sz w:val="24"/>
                <w:szCs w:val="24"/>
              </w:rPr>
              <w:t>（一）等级判断</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根据《环境影响评价技术导则 地下水环境》（HJ610-2016）附录A，加油站属于182、加油、加气站，属于Ⅱ类项目。</w:t>
            </w:r>
          </w:p>
          <w:p>
            <w:pPr>
              <w:autoSpaceDE w:val="0"/>
              <w:autoSpaceDN w:val="0"/>
              <w:adjustRightInd w:val="0"/>
              <w:ind w:right="140" w:rightChars="50" w:firstLine="480" w:firstLineChars="200"/>
              <w:rPr>
                <w:rFonts w:eastAsia="宋体" w:cs="宋体"/>
                <w:kern w:val="0"/>
                <w:sz w:val="24"/>
                <w:szCs w:val="24"/>
              </w:rPr>
            </w:pPr>
            <w:r>
              <w:rPr>
                <w:rFonts w:hint="eastAsia" w:eastAsia="宋体"/>
                <w:sz w:val="24"/>
                <w:szCs w:val="24"/>
              </w:rPr>
              <w:t>本项目所在地距离北侧新沂河（沭阳县）洪水调蓄区，最近距离2000m</w:t>
            </w:r>
            <w:r>
              <w:rPr>
                <w:rFonts w:eastAsia="宋体"/>
                <w:sz w:val="24"/>
                <w:szCs w:val="24"/>
              </w:rPr>
              <w:t>。</w:t>
            </w:r>
            <w:r>
              <w:rPr>
                <w:rFonts w:hint="eastAsia" w:eastAsia="宋体"/>
                <w:sz w:val="24"/>
                <w:szCs w:val="24"/>
              </w:rPr>
              <w:t>因此，本项目地下水环境敏感程度为不敏感。</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根据地下水导则评价工作等级分级表，本项目应开展三级评价。</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（二）影响途径分析</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储油罐和输油管线的泄漏或渗漏会对地下水和土壤造成污染。一旦发生漏油，需要立即采取措施使污染源得到及时控制，但由于含水层和土壤的自净降解是一个长期过程，环境完全恢复到污染前的水平需很长的时间。</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根据本项目建设内容和工程分析，本项目可能污染地面造成</w:t>
            </w:r>
            <w:r>
              <w:rPr>
                <w:rFonts w:hint="eastAsia" w:eastAsia="宋体" w:cs="宋体"/>
                <w:kern w:val="0"/>
                <w:sz w:val="24"/>
                <w:szCs w:val="24"/>
              </w:rPr>
              <w:t>地下水</w:t>
            </w:r>
            <w:r>
              <w:rPr>
                <w:rFonts w:eastAsia="宋体" w:cs="宋体"/>
                <w:kern w:val="0"/>
                <w:sz w:val="24"/>
                <w:szCs w:val="24"/>
              </w:rPr>
              <w:t>污染的主要途径见表</w:t>
            </w:r>
            <w:r>
              <w:rPr>
                <w:rFonts w:hint="eastAsia" w:eastAsia="宋体" w:cs="宋体"/>
                <w:kern w:val="0"/>
                <w:sz w:val="24"/>
                <w:szCs w:val="24"/>
              </w:rPr>
              <w:t>7-16</w:t>
            </w:r>
            <w:r>
              <w:rPr>
                <w:rFonts w:eastAsia="宋体" w:cs="宋体"/>
                <w:kern w:val="0"/>
                <w:sz w:val="24"/>
                <w:szCs w:val="24"/>
              </w:rPr>
              <w:t>。</w:t>
            </w:r>
          </w:p>
          <w:p>
            <w:pPr>
              <w:widowControl w:val="0"/>
              <w:spacing w:after="120" w:line="240" w:lineRule="auto"/>
              <w:ind w:firstLine="241" w:firstLineChars="100"/>
              <w:jc w:val="center"/>
              <w:rPr>
                <w:rFonts w:eastAsia="宋体"/>
                <w:b/>
                <w:sz w:val="24"/>
                <w:szCs w:val="24"/>
              </w:rPr>
            </w:pPr>
            <w:r>
              <w:rPr>
                <w:rFonts w:eastAsia="宋体"/>
                <w:b/>
                <w:sz w:val="24"/>
                <w:szCs w:val="24"/>
              </w:rPr>
              <w:t>表</w:t>
            </w:r>
            <w:r>
              <w:rPr>
                <w:rFonts w:hint="eastAsia" w:eastAsia="宋体"/>
                <w:b/>
                <w:sz w:val="24"/>
                <w:szCs w:val="24"/>
              </w:rPr>
              <w:t>7-16</w:t>
            </w:r>
            <w:r>
              <w:rPr>
                <w:rFonts w:eastAsia="宋体"/>
                <w:b/>
                <w:sz w:val="24"/>
                <w:szCs w:val="24"/>
              </w:rPr>
              <w:t xml:space="preserve">  地下水污染途径分析表</w:t>
            </w:r>
          </w:p>
          <w:tbl>
            <w:tblPr>
              <w:tblStyle w:val="28"/>
              <w:tblW w:w="924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4"/>
              <w:gridCol w:w="3926"/>
              <w:gridCol w:w="30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序号</w:t>
                  </w:r>
                </w:p>
              </w:tc>
              <w:tc>
                <w:tcPr>
                  <w:tcW w:w="137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污染源</w:t>
                  </w:r>
                </w:p>
              </w:tc>
              <w:tc>
                <w:tcPr>
                  <w:tcW w:w="39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泄漏部位/触发情况</w:t>
                  </w:r>
                </w:p>
              </w:tc>
              <w:tc>
                <w:tcPr>
                  <w:tcW w:w="3063" w:type="dxa"/>
                  <w:vAlign w:val="center"/>
                </w:tcPr>
                <w:p>
                  <w:pPr>
                    <w:jc w:val="center"/>
                    <w:textAlignment w:val="center"/>
                    <w:rPr>
                      <w:rFonts w:eastAsia="宋体"/>
                      <w:sz w:val="21"/>
                      <w:szCs w:val="21"/>
                    </w:rPr>
                  </w:pPr>
                  <w:r>
                    <w:rPr>
                      <w:rFonts w:eastAsia="宋体"/>
                      <w:sz w:val="21"/>
                      <w:szCs w:val="21"/>
                    </w:rPr>
                    <w:t>污染途径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w:t>
                  </w:r>
                </w:p>
              </w:tc>
              <w:tc>
                <w:tcPr>
                  <w:tcW w:w="137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储罐区</w:t>
                  </w:r>
                </w:p>
              </w:tc>
              <w:tc>
                <w:tcPr>
                  <w:tcW w:w="392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在收发油过程中，由于操作失误，致使油类泄漏；各个管道接口不严，致使跑冒滴漏现象发生</w:t>
                  </w:r>
                </w:p>
              </w:tc>
              <w:tc>
                <w:tcPr>
                  <w:tcW w:w="3063" w:type="dxa"/>
                  <w:vMerge w:val="restart"/>
                  <w:vAlign w:val="center"/>
                </w:tcPr>
                <w:p>
                  <w:pPr>
                    <w:spacing w:line="240" w:lineRule="auto"/>
                    <w:jc w:val="center"/>
                    <w:rPr>
                      <w:rFonts w:eastAsia="宋体"/>
                      <w:sz w:val="21"/>
                      <w:szCs w:val="21"/>
                    </w:rPr>
                  </w:pPr>
                  <w:r>
                    <w:rPr>
                      <w:rFonts w:eastAsia="宋体"/>
                      <w:sz w:val="21"/>
                      <w:szCs w:val="21"/>
                    </w:rPr>
                    <w:t>泄漏后，若不能及时补救、收集，可能通过储罐区表层土壤渗漏，造成土壤或地下水污染隐患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88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p>
              </w:tc>
              <w:tc>
                <w:tcPr>
                  <w:tcW w:w="137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输送管道</w:t>
                  </w:r>
                </w:p>
              </w:tc>
              <w:tc>
                <w:tcPr>
                  <w:tcW w:w="392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输油管道腐蚀致使油类泄漏</w:t>
                  </w:r>
                </w:p>
              </w:tc>
              <w:tc>
                <w:tcPr>
                  <w:tcW w:w="3063" w:type="dxa"/>
                  <w:vMerge w:val="continue"/>
                  <w:vAlign w:val="center"/>
                </w:tcPr>
                <w:p>
                  <w:pPr>
                    <w:jc w:val="center"/>
                    <w:textAlignment w:val="center"/>
                    <w:rPr>
                      <w:color w:val="000000"/>
                      <w:szCs w:val="21"/>
                    </w:rPr>
                  </w:pPr>
                </w:p>
              </w:tc>
            </w:tr>
          </w:tbl>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w:t>
            </w:r>
            <w:r>
              <w:rPr>
                <w:rFonts w:hint="eastAsia" w:eastAsia="宋体" w:cs="宋体"/>
                <w:kern w:val="0"/>
                <w:sz w:val="24"/>
                <w:szCs w:val="24"/>
              </w:rPr>
              <w:t>三</w:t>
            </w:r>
            <w:r>
              <w:rPr>
                <w:rFonts w:eastAsia="宋体" w:cs="宋体"/>
                <w:kern w:val="0"/>
                <w:sz w:val="24"/>
                <w:szCs w:val="24"/>
              </w:rPr>
              <w:t>）</w:t>
            </w:r>
            <w:r>
              <w:rPr>
                <w:rFonts w:hint="eastAsia" w:eastAsia="宋体" w:cs="宋体"/>
                <w:kern w:val="0"/>
                <w:sz w:val="24"/>
                <w:szCs w:val="24"/>
              </w:rPr>
              <w:t>地下</w:t>
            </w:r>
            <w:r>
              <w:rPr>
                <w:rFonts w:eastAsia="宋体" w:cs="宋体"/>
                <w:kern w:val="0"/>
                <w:sz w:val="24"/>
                <w:szCs w:val="24"/>
              </w:rPr>
              <w:t>水污染模型预测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fldChar w:fldCharType="begin"/>
            </w:r>
            <w:r>
              <w:rPr>
                <w:rFonts w:eastAsia="宋体" w:cs="宋体"/>
                <w:kern w:val="0"/>
                <w:sz w:val="24"/>
                <w:szCs w:val="24"/>
              </w:rPr>
              <w:instrText xml:space="preserve"> = 1 \* GB3 \* MERGEFORMAT </w:instrText>
            </w:r>
            <w:r>
              <w:rPr>
                <w:rFonts w:eastAsia="宋体" w:cs="宋体"/>
                <w:kern w:val="0"/>
                <w:sz w:val="24"/>
                <w:szCs w:val="24"/>
              </w:rPr>
              <w:fldChar w:fldCharType="separate"/>
            </w:r>
            <w:r>
              <w:rPr>
                <w:rFonts w:eastAsia="宋体" w:cs="宋体"/>
                <w:kern w:val="0"/>
                <w:sz w:val="24"/>
                <w:szCs w:val="24"/>
              </w:rPr>
              <w:t>①</w:t>
            </w:r>
            <w:r>
              <w:rPr>
                <w:rFonts w:eastAsia="宋体" w:cs="宋体"/>
                <w:kern w:val="0"/>
                <w:sz w:val="24"/>
                <w:szCs w:val="24"/>
              </w:rPr>
              <w:fldChar w:fldCharType="end"/>
            </w:r>
            <w:r>
              <w:rPr>
                <w:rFonts w:eastAsia="宋体" w:cs="宋体"/>
                <w:kern w:val="0"/>
                <w:sz w:val="24"/>
                <w:szCs w:val="24"/>
              </w:rPr>
              <w:t>地下水污染源和污染情景分析</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在正常工况下，本项目不会有大量油品泄漏，仅在加油作业过程中会有少量的跑冒滴漏油品落在地表，地表均为符合设计要求的硬化地面，基本不会对地下水造成污染。</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本项目储罐材质为双层储罐，罐体外层由玻璃纤维包裹，输油管线材质为无缝钢管。油罐放置于放置于防渗混凝土浇筑为一体的罐池内，罐池内表面做水泥砂浆抹面，并找平和压实。油罐正常状态下不会有油品泄漏。如一旦发生泄漏，可及时通过渗漏检测功能的液位监测系统得知，并及时对泄漏区域进行排查和封堵。</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由于汽油的危险性较大，因此本项目针对发生汽油管道腐蚀泄漏情况下进行地下水环境影响预测。设定泄漏状态如表</w:t>
            </w:r>
            <w:r>
              <w:rPr>
                <w:rFonts w:hint="eastAsia" w:eastAsia="宋体" w:cs="宋体"/>
                <w:kern w:val="0"/>
                <w:sz w:val="24"/>
                <w:szCs w:val="24"/>
              </w:rPr>
              <w:t>7-17</w:t>
            </w:r>
            <w:r>
              <w:rPr>
                <w:rFonts w:eastAsia="宋体" w:cs="宋体"/>
                <w:kern w:val="0"/>
                <w:sz w:val="24"/>
                <w:szCs w:val="24"/>
              </w:rPr>
              <w:t>所示。</w:t>
            </w:r>
          </w:p>
          <w:p>
            <w:pPr>
              <w:widowControl w:val="0"/>
              <w:spacing w:after="120" w:line="240" w:lineRule="auto"/>
              <w:ind w:firstLine="241" w:firstLineChars="100"/>
              <w:jc w:val="center"/>
              <w:rPr>
                <w:rFonts w:eastAsia="宋体"/>
                <w:b/>
                <w:sz w:val="24"/>
                <w:szCs w:val="24"/>
              </w:rPr>
            </w:pPr>
            <w:r>
              <w:rPr>
                <w:rFonts w:eastAsia="宋体"/>
                <w:b/>
                <w:sz w:val="24"/>
                <w:szCs w:val="24"/>
              </w:rPr>
              <w:t>表</w:t>
            </w:r>
            <w:r>
              <w:rPr>
                <w:rFonts w:hint="eastAsia" w:eastAsia="宋体"/>
                <w:b/>
                <w:sz w:val="24"/>
                <w:szCs w:val="24"/>
              </w:rPr>
              <w:t>7-17</w:t>
            </w:r>
            <w:r>
              <w:rPr>
                <w:rFonts w:eastAsia="宋体"/>
                <w:b/>
                <w:sz w:val="24"/>
                <w:szCs w:val="24"/>
              </w:rPr>
              <w:t xml:space="preserve"> 泄漏事故场景设定</w:t>
            </w:r>
          </w:p>
          <w:tbl>
            <w:tblPr>
              <w:tblStyle w:val="28"/>
              <w:tblW w:w="92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417"/>
              <w:gridCol w:w="1701"/>
              <w:gridCol w:w="2432"/>
              <w:gridCol w:w="21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油罐</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数量</w:t>
                  </w:r>
                </w:p>
              </w:tc>
              <w:tc>
                <w:tcPr>
                  <w:tcW w:w="1701"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单罐容积 m</w:t>
                  </w:r>
                  <w:r>
                    <w:rPr>
                      <w:rFonts w:eastAsia="宋体"/>
                      <w:sz w:val="21"/>
                      <w:szCs w:val="21"/>
                      <w:vertAlign w:val="superscript"/>
                    </w:rPr>
                    <w:t>3</w:t>
                  </w:r>
                </w:p>
              </w:tc>
              <w:tc>
                <w:tcPr>
                  <w:tcW w:w="243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最大储量 t</w:t>
                  </w:r>
                </w:p>
              </w:tc>
              <w:tc>
                <w:tcPr>
                  <w:tcW w:w="219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泄漏量/占比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50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汽油储罐</w:t>
                  </w:r>
                </w:p>
              </w:tc>
              <w:tc>
                <w:tcPr>
                  <w:tcW w:w="1417"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4</w:t>
                  </w:r>
                </w:p>
              </w:tc>
              <w:tc>
                <w:tcPr>
                  <w:tcW w:w="1701"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30</w:t>
                  </w:r>
                </w:p>
              </w:tc>
              <w:tc>
                <w:tcPr>
                  <w:tcW w:w="243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76.5</w:t>
                  </w:r>
                  <w:r>
                    <w:rPr>
                      <w:rFonts w:eastAsia="宋体"/>
                      <w:sz w:val="21"/>
                      <w:szCs w:val="21"/>
                    </w:rPr>
                    <w:t>（充装系数取0.</w:t>
                  </w:r>
                  <w:r>
                    <w:rPr>
                      <w:rFonts w:hint="eastAsia" w:eastAsia="宋体"/>
                      <w:sz w:val="21"/>
                      <w:szCs w:val="21"/>
                    </w:rPr>
                    <w:t>85</w:t>
                  </w:r>
                  <w:r>
                    <w:rPr>
                      <w:rFonts w:eastAsia="宋体"/>
                      <w:sz w:val="21"/>
                      <w:szCs w:val="21"/>
                    </w:rPr>
                    <w:t>）</w:t>
                  </w:r>
                </w:p>
              </w:tc>
              <w:tc>
                <w:tcPr>
                  <w:tcW w:w="219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7.65</w:t>
                  </w:r>
                  <w:r>
                    <w:rPr>
                      <w:rFonts w:eastAsia="宋体"/>
                      <w:sz w:val="21"/>
                      <w:szCs w:val="21"/>
                    </w:rPr>
                    <w:t>kg/d，0.01%</w:t>
                  </w:r>
                </w:p>
              </w:tc>
            </w:tr>
          </w:tbl>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fldChar w:fldCharType="begin"/>
            </w:r>
            <w:r>
              <w:rPr>
                <w:rFonts w:eastAsia="宋体" w:cs="宋体"/>
                <w:kern w:val="0"/>
                <w:sz w:val="24"/>
                <w:szCs w:val="24"/>
              </w:rPr>
              <w:instrText xml:space="preserve"> = 2 \* GB3 \* MERGEFORMAT </w:instrText>
            </w:r>
            <w:r>
              <w:rPr>
                <w:rFonts w:eastAsia="宋体" w:cs="宋体"/>
                <w:kern w:val="0"/>
                <w:sz w:val="24"/>
                <w:szCs w:val="24"/>
              </w:rPr>
              <w:fldChar w:fldCharType="separate"/>
            </w:r>
            <w:r>
              <w:rPr>
                <w:rFonts w:eastAsia="宋体" w:cs="宋体"/>
                <w:kern w:val="0"/>
                <w:sz w:val="24"/>
                <w:szCs w:val="24"/>
              </w:rPr>
              <w:t>②</w:t>
            </w:r>
            <w:r>
              <w:rPr>
                <w:rFonts w:eastAsia="宋体" w:cs="宋体"/>
                <w:kern w:val="0"/>
                <w:sz w:val="24"/>
                <w:szCs w:val="24"/>
              </w:rPr>
              <w:fldChar w:fldCharType="end"/>
            </w:r>
            <w:r>
              <w:rPr>
                <w:rFonts w:eastAsia="宋体" w:cs="宋体"/>
                <w:kern w:val="0"/>
                <w:sz w:val="24"/>
                <w:szCs w:val="24"/>
              </w:rPr>
              <w:t>地下水污染途径分析</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假设</w:t>
            </w:r>
            <w:r>
              <w:rPr>
                <w:rFonts w:eastAsia="宋体" w:cs="宋体"/>
                <w:kern w:val="0"/>
                <w:sz w:val="24"/>
                <w:szCs w:val="24"/>
              </w:rPr>
              <w:t>油品泄漏后进入地下，首先在包气带中垂直向下迁移，并进入到含水层中。污染物进入地下水后，以对流作用和弥散作用为主。另外，污染物在含水层中的迁移行为还包括吸附解析、挥发和生物降解。根据项目污染物的理化特征，基于保守性考虑，本次地下水污染模拟过程中未考虑污染物在含水层中的挥发、吸附解析和生物化学反应。</w:t>
            </w:r>
            <w:r>
              <w:rPr>
                <w:rFonts w:hint="eastAsia" w:eastAsia="宋体" w:cs="宋体"/>
                <w:kern w:val="0"/>
                <w:sz w:val="24"/>
                <w:szCs w:val="24"/>
              </w:rPr>
              <w:t>这种相对保守的预测情景可以为项目防控体系提供更为可靠的依据，符合工程设计的思想。</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fldChar w:fldCharType="begin"/>
            </w:r>
            <w:r>
              <w:rPr>
                <w:rFonts w:eastAsia="宋体" w:cs="宋体"/>
                <w:kern w:val="0"/>
                <w:sz w:val="24"/>
                <w:szCs w:val="24"/>
              </w:rPr>
              <w:instrText xml:space="preserve"> = 3 \* GB3 \* MERGEFORMAT </w:instrText>
            </w:r>
            <w:r>
              <w:rPr>
                <w:rFonts w:eastAsia="宋体" w:cs="宋体"/>
                <w:kern w:val="0"/>
                <w:sz w:val="24"/>
                <w:szCs w:val="24"/>
              </w:rPr>
              <w:fldChar w:fldCharType="separate"/>
            </w:r>
            <w:r>
              <w:rPr>
                <w:rFonts w:eastAsia="宋体" w:cs="宋体"/>
                <w:kern w:val="0"/>
                <w:sz w:val="24"/>
                <w:szCs w:val="24"/>
              </w:rPr>
              <w:t>③</w:t>
            </w:r>
            <w:r>
              <w:rPr>
                <w:rFonts w:eastAsia="宋体" w:cs="宋体"/>
                <w:kern w:val="0"/>
                <w:sz w:val="24"/>
                <w:szCs w:val="24"/>
              </w:rPr>
              <w:fldChar w:fldCharType="end"/>
            </w:r>
            <w:r>
              <w:rPr>
                <w:rFonts w:eastAsia="宋体" w:cs="宋体"/>
                <w:kern w:val="0"/>
                <w:sz w:val="24"/>
                <w:szCs w:val="24"/>
              </w:rPr>
              <w:t>溶质运移解析模型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根据《环境影响评价技术导则 地下水环境》（HJ610-2016），地下水环境影响评价三级评价预测方法可以选用解析法。根据本项目地下水的污染特性，选用一维稳定流动一维水动力弥散问题的一维无限长多孔介质柱体，示踪剂瞬时注入模型。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源预测模型公式如下：</w:t>
            </w:r>
          </w:p>
          <w:p>
            <w:pPr>
              <w:pStyle w:val="25"/>
              <w:ind w:firstLine="280"/>
              <w:rPr>
                <w:color w:val="000000"/>
                <w:sz w:val="24"/>
                <w:szCs w:val="24"/>
              </w:rPr>
            </w:pPr>
            <w:r>
              <w:rPr>
                <w:color w:val="000000"/>
              </w:rPr>
              <w:drawing>
                <wp:inline distT="0" distB="0" distL="0" distR="0">
                  <wp:extent cx="2266950" cy="685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7">
                            <a:extLst>
                              <a:ext uri="{28A0092B-C50C-407E-A947-70E740481C1C}">
                                <a14:useLocalDpi xmlns:a14="http://schemas.microsoft.com/office/drawing/2010/main" val="0"/>
                              </a:ext>
                            </a:extLst>
                          </a:blip>
                          <a:srcRect b="6461"/>
                          <a:stretch>
                            <a:fillRect/>
                          </a:stretch>
                        </pic:blipFill>
                        <pic:spPr>
                          <a:xfrm>
                            <a:off x="0" y="0"/>
                            <a:ext cx="2266950" cy="685800"/>
                          </a:xfrm>
                          <a:prstGeom prst="rect">
                            <a:avLst/>
                          </a:prstGeom>
                          <a:noFill/>
                          <a:ln>
                            <a:noFill/>
                          </a:ln>
                        </pic:spPr>
                      </pic:pic>
                    </a:graphicData>
                  </a:graphic>
                </wp:inline>
              </w:drawing>
            </w:r>
          </w:p>
          <w:p>
            <w:pPr>
              <w:adjustRightInd w:val="0"/>
              <w:snapToGrid w:val="0"/>
              <w:ind w:firstLine="420" w:firstLineChars="200"/>
              <w:rPr>
                <w:rFonts w:eastAsia="宋体"/>
                <w:sz w:val="21"/>
                <w:szCs w:val="24"/>
              </w:rPr>
            </w:pPr>
            <w:r>
              <w:rPr>
                <w:rFonts w:hint="eastAsia" w:eastAsia="宋体"/>
                <w:sz w:val="21"/>
                <w:szCs w:val="24"/>
              </w:rPr>
              <w:t>式中：x—距注入点的距离，m；</w:t>
            </w:r>
          </w:p>
          <w:p>
            <w:pPr>
              <w:adjustRightInd w:val="0"/>
              <w:snapToGrid w:val="0"/>
              <w:ind w:firstLine="420" w:firstLineChars="200"/>
              <w:rPr>
                <w:rFonts w:eastAsia="宋体"/>
                <w:sz w:val="21"/>
                <w:szCs w:val="24"/>
              </w:rPr>
            </w:pPr>
            <w:r>
              <w:rPr>
                <w:rFonts w:hint="eastAsia" w:eastAsia="宋体"/>
                <w:sz w:val="21"/>
                <w:szCs w:val="24"/>
              </w:rPr>
              <w:t>t—时间，d；</w:t>
            </w:r>
          </w:p>
          <w:p>
            <w:pPr>
              <w:adjustRightInd w:val="0"/>
              <w:snapToGrid w:val="0"/>
              <w:ind w:firstLine="420" w:firstLineChars="200"/>
              <w:rPr>
                <w:rFonts w:eastAsia="宋体"/>
                <w:sz w:val="21"/>
                <w:szCs w:val="24"/>
              </w:rPr>
            </w:pPr>
            <w:r>
              <w:rPr>
                <w:rFonts w:hint="eastAsia" w:eastAsia="宋体"/>
                <w:sz w:val="21"/>
                <w:szCs w:val="24"/>
              </w:rPr>
              <w:t>C(x,t)—t 时刻点x处的污染物浓度，g/L；</w:t>
            </w:r>
          </w:p>
          <w:p>
            <w:pPr>
              <w:adjustRightInd w:val="0"/>
              <w:snapToGrid w:val="0"/>
              <w:ind w:firstLine="420" w:firstLineChars="200"/>
              <w:rPr>
                <w:rFonts w:eastAsia="宋体"/>
                <w:sz w:val="21"/>
                <w:szCs w:val="24"/>
              </w:rPr>
            </w:pPr>
            <w:r>
              <w:rPr>
                <w:rFonts w:hint="eastAsia" w:eastAsia="宋体"/>
                <w:sz w:val="21"/>
                <w:szCs w:val="24"/>
              </w:rPr>
              <w:t>m—注入的示踪剂质量，kg；</w:t>
            </w:r>
          </w:p>
          <w:p>
            <w:pPr>
              <w:adjustRightInd w:val="0"/>
              <w:snapToGrid w:val="0"/>
              <w:ind w:firstLine="420" w:firstLineChars="200"/>
              <w:rPr>
                <w:rFonts w:eastAsia="宋体"/>
                <w:sz w:val="21"/>
                <w:szCs w:val="24"/>
              </w:rPr>
            </w:pPr>
            <w:r>
              <w:rPr>
                <w:rFonts w:hint="eastAsia" w:eastAsia="宋体"/>
                <w:sz w:val="21"/>
                <w:szCs w:val="24"/>
              </w:rPr>
              <w:t>W—横截面面积，m</w:t>
            </w:r>
            <w:r>
              <w:rPr>
                <w:rFonts w:hint="eastAsia" w:eastAsia="宋体"/>
                <w:sz w:val="21"/>
                <w:szCs w:val="24"/>
                <w:vertAlign w:val="superscript"/>
              </w:rPr>
              <w:t>2</w:t>
            </w:r>
            <w:r>
              <w:rPr>
                <w:rFonts w:hint="eastAsia" w:eastAsia="宋体"/>
                <w:sz w:val="21"/>
                <w:szCs w:val="24"/>
              </w:rPr>
              <w:t>。以汽油储罐区占地面积计约48m</w:t>
            </w:r>
            <w:r>
              <w:rPr>
                <w:rFonts w:hint="eastAsia" w:eastAsia="宋体"/>
                <w:sz w:val="21"/>
                <w:szCs w:val="24"/>
                <w:vertAlign w:val="superscript"/>
              </w:rPr>
              <w:t>2</w:t>
            </w:r>
            <w:r>
              <w:rPr>
                <w:rFonts w:hint="eastAsia" w:eastAsia="宋体"/>
                <w:sz w:val="21"/>
                <w:szCs w:val="24"/>
              </w:rPr>
              <w:t>。</w:t>
            </w:r>
          </w:p>
          <w:p>
            <w:pPr>
              <w:adjustRightInd w:val="0"/>
              <w:snapToGrid w:val="0"/>
              <w:ind w:firstLine="420" w:firstLineChars="200"/>
              <w:rPr>
                <w:rFonts w:eastAsia="宋体"/>
                <w:sz w:val="21"/>
                <w:szCs w:val="24"/>
              </w:rPr>
            </w:pPr>
            <w:r>
              <w:rPr>
                <w:rFonts w:hint="eastAsia" w:eastAsia="宋体"/>
                <w:sz w:val="21"/>
                <w:szCs w:val="24"/>
              </w:rPr>
              <w:t>u—水流速度，m/d；</w:t>
            </w:r>
          </w:p>
          <w:p>
            <w:pPr>
              <w:adjustRightInd w:val="0"/>
              <w:snapToGrid w:val="0"/>
              <w:ind w:firstLine="420" w:firstLineChars="200"/>
              <w:rPr>
                <w:rFonts w:eastAsia="宋体"/>
                <w:sz w:val="21"/>
                <w:szCs w:val="24"/>
              </w:rPr>
            </w:pPr>
            <w:r>
              <w:rPr>
                <w:rFonts w:hint="eastAsia" w:eastAsia="宋体"/>
                <w:sz w:val="21"/>
                <w:szCs w:val="24"/>
              </w:rPr>
              <w:t>n—有效孔隙度，无量纲；</w:t>
            </w:r>
          </w:p>
          <w:p>
            <w:pPr>
              <w:adjustRightInd w:val="0"/>
              <w:snapToGrid w:val="0"/>
              <w:ind w:firstLine="420" w:firstLineChars="200"/>
              <w:rPr>
                <w:rFonts w:eastAsia="宋体"/>
                <w:sz w:val="21"/>
                <w:szCs w:val="24"/>
              </w:rPr>
            </w:pPr>
            <w:r>
              <w:rPr>
                <w:rFonts w:hint="eastAsia" w:eastAsia="宋体"/>
                <w:sz w:val="21"/>
                <w:szCs w:val="24"/>
              </w:rPr>
              <w:t>DL—纵向弥散系数，m</w:t>
            </w:r>
            <w:r>
              <w:rPr>
                <w:rFonts w:hint="eastAsia" w:eastAsia="宋体"/>
                <w:sz w:val="21"/>
                <w:szCs w:val="24"/>
                <w:vertAlign w:val="superscript"/>
              </w:rPr>
              <w:t>2</w:t>
            </w:r>
            <w:r>
              <w:rPr>
                <w:rFonts w:hint="eastAsia" w:eastAsia="宋体"/>
                <w:sz w:val="21"/>
                <w:szCs w:val="24"/>
              </w:rPr>
              <w:t>/d；</w:t>
            </w:r>
          </w:p>
          <w:p>
            <w:pPr>
              <w:adjustRightInd w:val="0"/>
              <w:snapToGrid w:val="0"/>
              <w:ind w:firstLine="420" w:firstLineChars="200"/>
              <w:rPr>
                <w:rFonts w:eastAsia="宋体"/>
                <w:sz w:val="21"/>
                <w:szCs w:val="24"/>
              </w:rPr>
            </w:pPr>
            <w:r>
              <w:rPr>
                <w:rFonts w:hint="eastAsia" w:eastAsia="宋体"/>
                <w:sz w:val="21"/>
                <w:szCs w:val="24"/>
              </w:rPr>
              <w:t>π—圆周率。</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预测参数如下：</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注入的示踪剂质量m：</w:t>
            </w:r>
            <w:r>
              <w:rPr>
                <w:rFonts w:hint="eastAsia" w:eastAsia="宋体" w:cs="宋体"/>
                <w:kern w:val="0"/>
                <w:sz w:val="24"/>
                <w:szCs w:val="24"/>
              </w:rPr>
              <w:t>非正常泄漏时间跟企业管理程度有关，项目设有漏油在线监测系统，当发生泄漏时，很快就会发现，一般不会出现连续一天以上的事故漏油，故本项目非正常下渗时间</w:t>
            </w:r>
            <w:r>
              <w:rPr>
                <w:rFonts w:eastAsia="宋体" w:cs="宋体"/>
                <w:kern w:val="0"/>
                <w:sz w:val="24"/>
                <w:szCs w:val="24"/>
              </w:rPr>
              <w:t>按1天计，注入示踪剂（石油类）质量为</w:t>
            </w:r>
            <w:r>
              <w:rPr>
                <w:rFonts w:hint="eastAsia" w:eastAsia="宋体" w:cs="宋体"/>
                <w:kern w:val="0"/>
                <w:sz w:val="24"/>
                <w:szCs w:val="24"/>
              </w:rPr>
              <w:t>7.65</w:t>
            </w:r>
            <w:r>
              <w:rPr>
                <w:rFonts w:eastAsia="宋体" w:cs="宋体"/>
                <w:kern w:val="0"/>
                <w:sz w:val="24"/>
                <w:szCs w:val="24"/>
              </w:rPr>
              <w:t>kg。</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查阅相关资料，项目区域水平方向渗透系数Kxx=Kyy=2.10~2.32m/d，取平均值2.2m/d，垂向和水平方向渗透系数比值取0.01，水力坡度1.5‰，有效孔隙度按0.21计。</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根据室内和野外弥散试验资料，结合弥散度的尺度效应，第一含水层纵向弥散度取50m，横向弥散度取5m。</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地下水流速和弥散系数的确定按下列方法取得：</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u</w:t>
            </w:r>
            <w:r>
              <w:rPr>
                <w:rFonts w:eastAsia="宋体" w:cs="宋体"/>
                <w:kern w:val="0"/>
                <w:sz w:val="24"/>
                <w:szCs w:val="24"/>
              </w:rPr>
              <w:t>＝K×I／n；D</w:t>
            </w:r>
            <w:r>
              <w:rPr>
                <w:rFonts w:eastAsia="宋体" w:cs="宋体"/>
                <w:kern w:val="0"/>
                <w:sz w:val="24"/>
                <w:szCs w:val="24"/>
                <w:vertAlign w:val="subscript"/>
              </w:rPr>
              <w:t>L</w:t>
            </w:r>
            <w:r>
              <w:rPr>
                <w:rFonts w:eastAsia="宋体" w:cs="宋体"/>
                <w:kern w:val="0"/>
                <w:sz w:val="24"/>
                <w:szCs w:val="24"/>
              </w:rPr>
              <w:t>＝a</w:t>
            </w:r>
            <w:r>
              <w:rPr>
                <w:rFonts w:eastAsia="宋体" w:cs="宋体"/>
                <w:kern w:val="0"/>
                <w:sz w:val="24"/>
                <w:szCs w:val="24"/>
                <w:vertAlign w:val="subscript"/>
              </w:rPr>
              <w:t>L</w:t>
            </w:r>
            <w:r>
              <w:rPr>
                <w:rFonts w:eastAsia="宋体" w:cs="宋体"/>
                <w:kern w:val="0"/>
                <w:sz w:val="24"/>
                <w:szCs w:val="24"/>
              </w:rPr>
              <w:t>×U</w:t>
            </w:r>
            <w:r>
              <w:rPr>
                <w:rFonts w:eastAsia="宋体" w:cs="宋体"/>
                <w:kern w:val="0"/>
                <w:sz w:val="24"/>
                <w:szCs w:val="24"/>
                <w:vertAlign w:val="superscript"/>
              </w:rPr>
              <w:t>m</w:t>
            </w:r>
            <w:r>
              <w:rPr>
                <w:rFonts w:eastAsia="宋体" w:cs="宋体"/>
                <w:kern w:val="0"/>
                <w:sz w:val="24"/>
                <w:szCs w:val="24"/>
              </w:rPr>
              <w:t>；D</w:t>
            </w:r>
            <w:r>
              <w:rPr>
                <w:rFonts w:eastAsia="宋体" w:cs="宋体"/>
                <w:kern w:val="0"/>
                <w:sz w:val="24"/>
                <w:szCs w:val="24"/>
                <w:vertAlign w:val="subscript"/>
              </w:rPr>
              <w:t>T</w:t>
            </w:r>
            <w:r>
              <w:rPr>
                <w:rFonts w:eastAsia="宋体" w:cs="宋体"/>
                <w:kern w:val="0"/>
                <w:sz w:val="24"/>
                <w:szCs w:val="24"/>
              </w:rPr>
              <w:t>＝a</w:t>
            </w:r>
            <w:r>
              <w:rPr>
                <w:rFonts w:eastAsia="宋体" w:cs="宋体"/>
                <w:kern w:val="0"/>
                <w:sz w:val="24"/>
                <w:szCs w:val="24"/>
                <w:vertAlign w:val="subscript"/>
              </w:rPr>
              <w:t>T</w:t>
            </w:r>
            <w:r>
              <w:rPr>
                <w:rFonts w:eastAsia="宋体" w:cs="宋体"/>
                <w:kern w:val="0"/>
                <w:sz w:val="24"/>
                <w:szCs w:val="24"/>
              </w:rPr>
              <w:t>×U</w:t>
            </w:r>
            <w:r>
              <w:rPr>
                <w:rFonts w:eastAsia="宋体" w:cs="宋体"/>
                <w:kern w:val="0"/>
                <w:sz w:val="24"/>
                <w:szCs w:val="24"/>
                <w:vertAlign w:val="superscript"/>
              </w:rPr>
              <w:t>m</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其中：</w:t>
            </w:r>
            <w:r>
              <w:rPr>
                <w:rFonts w:hint="eastAsia" w:eastAsia="宋体" w:cs="宋体"/>
                <w:kern w:val="0"/>
                <w:sz w:val="24"/>
                <w:szCs w:val="24"/>
              </w:rPr>
              <w:t>u</w:t>
            </w:r>
            <w:r>
              <w:rPr>
                <w:rFonts w:eastAsia="宋体" w:cs="宋体"/>
                <w:kern w:val="0"/>
                <w:sz w:val="24"/>
                <w:szCs w:val="24"/>
              </w:rPr>
              <w:t>—地下水流速，m/d；K—渗透系数，m/d；I—水力坡度；n—孔隙度；m—指数</w:t>
            </w:r>
            <w:r>
              <w:rPr>
                <w:rFonts w:hint="eastAsia" w:eastAsia="宋体" w:cs="宋体"/>
                <w:kern w:val="0"/>
                <w:sz w:val="24"/>
                <w:szCs w:val="24"/>
              </w:rPr>
              <w:t>（纵向取1.07、横向取1.1）</w:t>
            </w:r>
            <w:r>
              <w:rPr>
                <w:rFonts w:eastAsia="宋体" w:cs="宋体"/>
                <w:kern w:val="0"/>
                <w:sz w:val="24"/>
                <w:szCs w:val="24"/>
              </w:rPr>
              <w:t>；D</w:t>
            </w:r>
            <w:r>
              <w:rPr>
                <w:rFonts w:eastAsia="宋体" w:cs="宋体"/>
                <w:kern w:val="0"/>
                <w:sz w:val="24"/>
                <w:szCs w:val="24"/>
                <w:vertAlign w:val="subscript"/>
              </w:rPr>
              <w:t>L</w:t>
            </w:r>
            <w:r>
              <w:rPr>
                <w:rFonts w:eastAsia="宋体" w:cs="宋体"/>
                <w:kern w:val="0"/>
                <w:sz w:val="24"/>
                <w:szCs w:val="24"/>
              </w:rPr>
              <w:t>—纵向弥散系数，m</w:t>
            </w:r>
            <w:r>
              <w:rPr>
                <w:rFonts w:eastAsia="宋体" w:cs="宋体"/>
                <w:kern w:val="0"/>
                <w:sz w:val="24"/>
                <w:szCs w:val="24"/>
                <w:vertAlign w:val="superscript"/>
              </w:rPr>
              <w:t>2</w:t>
            </w:r>
            <w:r>
              <w:rPr>
                <w:rFonts w:eastAsia="宋体" w:cs="宋体"/>
                <w:kern w:val="0"/>
                <w:sz w:val="24"/>
                <w:szCs w:val="24"/>
              </w:rPr>
              <w:t>/d；D</w:t>
            </w:r>
            <w:r>
              <w:rPr>
                <w:rFonts w:eastAsia="宋体" w:cs="宋体"/>
                <w:kern w:val="0"/>
                <w:sz w:val="24"/>
                <w:szCs w:val="24"/>
                <w:vertAlign w:val="subscript"/>
              </w:rPr>
              <w:t>T</w:t>
            </w:r>
            <w:r>
              <w:rPr>
                <w:rFonts w:eastAsia="宋体" w:cs="宋体"/>
                <w:kern w:val="0"/>
                <w:sz w:val="24"/>
                <w:szCs w:val="24"/>
              </w:rPr>
              <w:t>—横向弥散系数，m</w:t>
            </w:r>
            <w:r>
              <w:rPr>
                <w:rFonts w:eastAsia="宋体" w:cs="宋体"/>
                <w:kern w:val="0"/>
                <w:sz w:val="24"/>
                <w:szCs w:val="24"/>
                <w:vertAlign w:val="superscript"/>
              </w:rPr>
              <w:t>2</w:t>
            </w:r>
            <w:r>
              <w:rPr>
                <w:rFonts w:eastAsia="宋体" w:cs="宋体"/>
                <w:kern w:val="0"/>
                <w:sz w:val="24"/>
                <w:szCs w:val="24"/>
              </w:rPr>
              <w:t>/d；a</w:t>
            </w:r>
            <w:r>
              <w:rPr>
                <w:rFonts w:eastAsia="宋体" w:cs="宋体"/>
                <w:kern w:val="0"/>
                <w:sz w:val="24"/>
                <w:szCs w:val="24"/>
                <w:vertAlign w:val="subscript"/>
              </w:rPr>
              <w:t>L</w:t>
            </w:r>
            <w:r>
              <w:rPr>
                <w:rFonts w:eastAsia="宋体" w:cs="宋体"/>
                <w:kern w:val="0"/>
                <w:sz w:val="24"/>
                <w:szCs w:val="24"/>
              </w:rPr>
              <w:t>—纵向弥散度；a</w:t>
            </w:r>
            <w:r>
              <w:rPr>
                <w:rFonts w:eastAsia="宋体" w:cs="宋体"/>
                <w:kern w:val="0"/>
                <w:sz w:val="24"/>
                <w:szCs w:val="24"/>
                <w:vertAlign w:val="subscript"/>
              </w:rPr>
              <w:t>T</w:t>
            </w:r>
            <w:r>
              <w:rPr>
                <w:rFonts w:eastAsia="宋体" w:cs="宋体"/>
                <w:kern w:val="0"/>
                <w:sz w:val="24"/>
                <w:szCs w:val="24"/>
              </w:rPr>
              <w:t>—横向弥散度。</w:t>
            </w:r>
          </w:p>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经计算，</w:t>
            </w:r>
            <w:r>
              <w:rPr>
                <w:rFonts w:eastAsia="宋体" w:cs="宋体"/>
                <w:kern w:val="0"/>
                <w:sz w:val="24"/>
                <w:szCs w:val="24"/>
              </w:rPr>
              <w:t>地下水流速</w:t>
            </w:r>
            <w:r>
              <w:rPr>
                <w:rFonts w:hint="eastAsia" w:eastAsia="宋体" w:cs="宋体"/>
                <w:kern w:val="0"/>
                <w:sz w:val="24"/>
                <w:szCs w:val="24"/>
              </w:rPr>
              <w:t>u=0.0157</w:t>
            </w:r>
            <w:r>
              <w:rPr>
                <w:rFonts w:eastAsia="宋体" w:cs="宋体"/>
                <w:kern w:val="0"/>
                <w:sz w:val="24"/>
                <w:szCs w:val="24"/>
              </w:rPr>
              <w:t>m/d</w:t>
            </w:r>
            <w:r>
              <w:rPr>
                <w:rFonts w:hint="eastAsia" w:eastAsia="宋体" w:cs="宋体"/>
                <w:kern w:val="0"/>
                <w:sz w:val="24"/>
                <w:szCs w:val="24"/>
              </w:rPr>
              <w:t>，</w:t>
            </w:r>
            <w:r>
              <w:rPr>
                <w:rFonts w:eastAsia="宋体" w:cs="宋体"/>
                <w:kern w:val="0"/>
                <w:sz w:val="24"/>
                <w:szCs w:val="24"/>
              </w:rPr>
              <w:t>纵向弥散系数D</w:t>
            </w:r>
            <w:r>
              <w:rPr>
                <w:rFonts w:eastAsia="宋体" w:cs="宋体"/>
                <w:kern w:val="0"/>
                <w:sz w:val="24"/>
                <w:szCs w:val="24"/>
                <w:vertAlign w:val="subscript"/>
              </w:rPr>
              <w:t>L</w:t>
            </w:r>
            <w:r>
              <w:rPr>
                <w:rFonts w:hint="eastAsia" w:eastAsia="宋体" w:cs="宋体"/>
                <w:kern w:val="0"/>
                <w:sz w:val="24"/>
                <w:szCs w:val="24"/>
              </w:rPr>
              <w:t xml:space="preserve"> =0.587</w:t>
            </w:r>
            <w:r>
              <w:rPr>
                <w:rFonts w:eastAsia="宋体" w:cs="宋体"/>
                <w:kern w:val="0"/>
                <w:sz w:val="24"/>
                <w:szCs w:val="24"/>
              </w:rPr>
              <w:t>m</w:t>
            </w:r>
            <w:r>
              <w:rPr>
                <w:rFonts w:eastAsia="宋体" w:cs="宋体"/>
                <w:kern w:val="0"/>
                <w:sz w:val="24"/>
                <w:szCs w:val="24"/>
                <w:vertAlign w:val="superscript"/>
              </w:rPr>
              <w:t>2</w:t>
            </w:r>
            <w:r>
              <w:rPr>
                <w:rFonts w:eastAsia="宋体" w:cs="宋体"/>
                <w:kern w:val="0"/>
                <w:sz w:val="24"/>
                <w:szCs w:val="24"/>
              </w:rPr>
              <w:t>/d</w:t>
            </w:r>
            <w:r>
              <w:rPr>
                <w:rFonts w:hint="eastAsia" w:eastAsia="宋体" w:cs="宋体"/>
                <w:kern w:val="0"/>
                <w:sz w:val="24"/>
                <w:szCs w:val="24"/>
              </w:rPr>
              <w:t>；</w:t>
            </w:r>
            <w:r>
              <w:rPr>
                <w:rFonts w:eastAsia="宋体" w:cs="宋体"/>
                <w:kern w:val="0"/>
                <w:sz w:val="24"/>
                <w:szCs w:val="24"/>
              </w:rPr>
              <w:t>横向弥散系数D</w:t>
            </w:r>
            <w:r>
              <w:rPr>
                <w:rFonts w:eastAsia="宋体" w:cs="宋体"/>
                <w:kern w:val="0"/>
                <w:sz w:val="24"/>
                <w:szCs w:val="24"/>
                <w:vertAlign w:val="subscript"/>
              </w:rPr>
              <w:t>T</w:t>
            </w:r>
            <w:r>
              <w:rPr>
                <w:rFonts w:hint="eastAsia" w:eastAsia="宋体" w:cs="宋体"/>
                <w:kern w:val="0"/>
                <w:sz w:val="24"/>
                <w:szCs w:val="24"/>
              </w:rPr>
              <w:t xml:space="preserve"> =0.0518</w:t>
            </w:r>
            <w:r>
              <w:rPr>
                <w:rFonts w:eastAsia="宋体" w:cs="宋体"/>
                <w:kern w:val="0"/>
                <w:sz w:val="24"/>
                <w:szCs w:val="24"/>
              </w:rPr>
              <w:t>m</w:t>
            </w:r>
            <w:r>
              <w:rPr>
                <w:rFonts w:eastAsia="宋体" w:cs="宋体"/>
                <w:kern w:val="0"/>
                <w:sz w:val="24"/>
                <w:szCs w:val="24"/>
                <w:vertAlign w:val="superscript"/>
              </w:rPr>
              <w:t>2</w:t>
            </w:r>
            <w:r>
              <w:rPr>
                <w:rFonts w:eastAsia="宋体" w:cs="宋体"/>
                <w:kern w:val="0"/>
                <w:sz w:val="24"/>
                <w:szCs w:val="24"/>
              </w:rPr>
              <w:t>/d</w:t>
            </w:r>
            <w:r>
              <w:rPr>
                <w:rFonts w:hint="eastAsia" w:eastAsia="宋体" w:cs="宋体"/>
                <w:kern w:val="0"/>
                <w:sz w:val="24"/>
                <w:szCs w:val="24"/>
              </w:rPr>
              <w:t>。</w:t>
            </w:r>
          </w:p>
          <w:p>
            <w:pPr>
              <w:adjustRightInd w:val="0"/>
              <w:snapToGrid w:val="0"/>
              <w:ind w:firstLine="480" w:firstLineChars="200"/>
              <w:rPr>
                <w:rFonts w:eastAsia="宋体"/>
                <w:sz w:val="24"/>
                <w:szCs w:val="24"/>
              </w:rPr>
            </w:pPr>
            <w:r>
              <w:rPr>
                <w:rFonts w:hint="eastAsia" w:eastAsia="宋体"/>
                <w:sz w:val="24"/>
                <w:szCs w:val="24"/>
              </w:rPr>
              <w:t>（四）地下水污染预测结果和分析</w:t>
            </w:r>
          </w:p>
          <w:p>
            <w:pPr>
              <w:adjustRightInd w:val="0"/>
              <w:snapToGrid w:val="0"/>
              <w:ind w:firstLine="480" w:firstLineChars="200"/>
              <w:rPr>
                <w:rFonts w:eastAsia="宋体"/>
                <w:sz w:val="24"/>
                <w:szCs w:val="24"/>
              </w:rPr>
            </w:pPr>
            <w:r>
              <w:rPr>
                <w:rFonts w:hint="eastAsia" w:eastAsia="宋体"/>
                <w:sz w:val="24"/>
                <w:szCs w:val="24"/>
              </w:rPr>
              <w:t>（1）预测结果</w:t>
            </w:r>
          </w:p>
          <w:p>
            <w:pPr>
              <w:adjustRightInd w:val="0"/>
              <w:snapToGrid w:val="0"/>
              <w:ind w:firstLine="480" w:firstLineChars="200"/>
              <w:rPr>
                <w:rFonts w:eastAsia="宋体"/>
                <w:sz w:val="24"/>
                <w:szCs w:val="24"/>
              </w:rPr>
            </w:pPr>
            <w:r>
              <w:rPr>
                <w:rFonts w:hint="eastAsia" w:eastAsia="宋体"/>
                <w:sz w:val="24"/>
                <w:szCs w:val="24"/>
              </w:rPr>
              <w:t>污染物石油类100d、1000d的污染物浓度分布情况见表7-18。</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w:t>
            </w:r>
            <w:r>
              <w:rPr>
                <w:rFonts w:hint="eastAsia"/>
                <w:b/>
                <w:bCs/>
                <w:snapToGrid w:val="0"/>
                <w:color w:val="000000"/>
                <w:kern w:val="0"/>
                <w:sz w:val="24"/>
                <w:szCs w:val="24"/>
              </w:rPr>
              <w:t>7-18</w:t>
            </w:r>
            <w:r>
              <w:rPr>
                <w:b/>
                <w:bCs/>
                <w:snapToGrid w:val="0"/>
                <w:color w:val="000000"/>
                <w:kern w:val="0"/>
                <w:sz w:val="24"/>
                <w:szCs w:val="24"/>
              </w:rPr>
              <w:t xml:space="preserve"> 地下水中污染物石油类预测结果表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13"/>
              <w:gridCol w:w="2223"/>
              <w:gridCol w:w="23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4" w:type="dxa"/>
                  <w:gridSpan w:val="2"/>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泄漏后100天</w:t>
                  </w:r>
                </w:p>
              </w:tc>
              <w:tc>
                <w:tcPr>
                  <w:tcW w:w="4666" w:type="dxa"/>
                  <w:gridSpan w:val="2"/>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泄漏后1000天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下游距离（m）</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浓度（mg/L）</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下游距离（m）</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22.12115</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6.364661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22.32369</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6.732718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w:t>
                  </w:r>
                </w:p>
              </w:tc>
              <w:tc>
                <w:tcPr>
                  <w:tcW w:w="2379"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22.337</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6.972001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3</w:t>
                  </w:r>
                </w:p>
              </w:tc>
              <w:tc>
                <w:tcPr>
                  <w:tcW w:w="2379"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22.16076</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7.06767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4</w:t>
                  </w:r>
                </w:p>
              </w:tc>
              <w:tc>
                <w:tcPr>
                  <w:tcW w:w="2379"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21.79942</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7.013696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21.2621</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6.813487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16.51668</w:t>
                  </w:r>
                </w:p>
              </w:tc>
              <w:tc>
                <w:tcPr>
                  <w:tcW w:w="2287"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30</w:t>
                  </w:r>
                </w:p>
              </w:tc>
              <w:tc>
                <w:tcPr>
                  <w:tcW w:w="2379" w:type="dxa"/>
                  <w:tcBorders>
                    <w:bottom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6.479533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w:t>
                  </w:r>
                </w:p>
              </w:tc>
              <w:tc>
                <w:tcPr>
                  <w:tcW w:w="2379" w:type="dxa"/>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10.36949</w:t>
                  </w:r>
                </w:p>
              </w:tc>
              <w:tc>
                <w:tcPr>
                  <w:tcW w:w="2287"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40</w:t>
                  </w:r>
                </w:p>
              </w:tc>
              <w:tc>
                <w:tcPr>
                  <w:tcW w:w="2379" w:type="dxa"/>
                  <w:tcBorders>
                    <w:top w:val="single" w:color="auto" w:sz="4" w:space="0"/>
                    <w:bottom w:val="single" w:color="auto" w:sz="4" w:space="0"/>
                  </w:tcBorders>
                  <w:shd w:val="clear" w:color="auto" w:fill="auto"/>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5.497279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5.261512</w:t>
                  </w:r>
                </w:p>
              </w:tc>
              <w:tc>
                <w:tcPr>
                  <w:tcW w:w="2287"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50</w:t>
                  </w:r>
                </w:p>
              </w:tc>
              <w:tc>
                <w:tcPr>
                  <w:tcW w:w="2379" w:type="dxa"/>
                  <w:tcBorders>
                    <w:top w:val="single" w:color="auto" w:sz="4" w:space="0"/>
                  </w:tcBorders>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4.283109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2.157654</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3.064628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0.7151074</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2.013741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0.1915486</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80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1.215169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40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0.04146721</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90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0.6734065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45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0.00725519</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0.3427087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0.00102591</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110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 xml:space="preserve">  0.1601696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55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0.00011724</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120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0.06874522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1.082905E-05</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130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0.02709643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65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8.083647E-07</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140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0.009808194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4.876885E-08</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0.003260418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75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2.377913E-09</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160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0.0009953246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80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9.370602E-11</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170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0.0002790381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90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7.68184E-14</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180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7.184053E-05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100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2.686804E-17</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200</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3.688107E-06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30" w:type="dxa"/>
                  <w:gridSpan w:val="4"/>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下游最大浓度及出现位置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22.337</w:t>
                  </w:r>
                </w:p>
              </w:tc>
              <w:tc>
                <w:tcPr>
                  <w:tcW w:w="2287"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15</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7.06767</w:t>
                  </w:r>
                </w:p>
              </w:tc>
            </w:tr>
          </w:tbl>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污染物扩散达标距离见表</w:t>
            </w:r>
            <w:r>
              <w:rPr>
                <w:rFonts w:hint="eastAsia" w:eastAsia="宋体" w:cs="宋体"/>
                <w:kern w:val="0"/>
                <w:sz w:val="24"/>
                <w:szCs w:val="24"/>
              </w:rPr>
              <w:t>7-19</w:t>
            </w:r>
            <w:r>
              <w:rPr>
                <w:rFonts w:eastAsia="宋体" w:cs="宋体"/>
                <w:kern w:val="0"/>
                <w:sz w:val="24"/>
                <w:szCs w:val="24"/>
              </w:rPr>
              <w:t>。</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w:t>
            </w:r>
            <w:r>
              <w:rPr>
                <w:rFonts w:hint="eastAsia"/>
                <w:b/>
                <w:bCs/>
                <w:snapToGrid w:val="0"/>
                <w:color w:val="000000"/>
                <w:kern w:val="0"/>
                <w:sz w:val="24"/>
                <w:szCs w:val="24"/>
              </w:rPr>
              <w:t>7-19</w:t>
            </w:r>
            <w:r>
              <w:rPr>
                <w:b/>
                <w:bCs/>
                <w:snapToGrid w:val="0"/>
                <w:color w:val="000000"/>
                <w:kern w:val="0"/>
                <w:sz w:val="24"/>
                <w:szCs w:val="24"/>
              </w:rPr>
              <w:t>污染物扩散达标距离</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2313"/>
              <w:gridCol w:w="1786"/>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污染物</w:t>
                  </w:r>
                </w:p>
              </w:tc>
              <w:tc>
                <w:tcPr>
                  <w:tcW w:w="2379"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标准值（mg/L）</w:t>
                  </w:r>
                </w:p>
              </w:tc>
              <w:tc>
                <w:tcPr>
                  <w:tcW w:w="183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时间（d）</w:t>
                  </w:r>
                </w:p>
              </w:tc>
              <w:tc>
                <w:tcPr>
                  <w:tcW w:w="283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污染物扩散达标距离（m）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285" w:type="dxa"/>
                  <w:vMerge w:val="restart"/>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石油类</w:t>
                  </w:r>
                </w:p>
              </w:tc>
              <w:tc>
                <w:tcPr>
                  <w:tcW w:w="2379" w:type="dxa"/>
                  <w:vMerge w:val="restart"/>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0.05</w:t>
                  </w:r>
                </w:p>
              </w:tc>
              <w:tc>
                <w:tcPr>
                  <w:tcW w:w="183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100</w:t>
                  </w:r>
                </w:p>
              </w:tc>
              <w:tc>
                <w:tcPr>
                  <w:tcW w:w="283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5" w:type="dxa"/>
                  <w:vMerge w:val="continue"/>
                  <w:vAlign w:val="center"/>
                </w:tcPr>
                <w:p>
                  <w:pPr>
                    <w:widowControl w:val="0"/>
                    <w:tabs>
                      <w:tab w:val="center" w:pos="4153"/>
                      <w:tab w:val="right" w:pos="8306"/>
                    </w:tabs>
                    <w:snapToGrid w:val="0"/>
                    <w:spacing w:line="240" w:lineRule="auto"/>
                    <w:jc w:val="center"/>
                    <w:textAlignment w:val="center"/>
                    <w:rPr>
                      <w:rFonts w:eastAsia="宋体"/>
                      <w:sz w:val="21"/>
                      <w:szCs w:val="21"/>
                    </w:rPr>
                  </w:pPr>
                </w:p>
              </w:tc>
              <w:tc>
                <w:tcPr>
                  <w:tcW w:w="2379" w:type="dxa"/>
                  <w:vMerge w:val="continue"/>
                  <w:vAlign w:val="center"/>
                </w:tcPr>
                <w:p>
                  <w:pPr>
                    <w:widowControl w:val="0"/>
                    <w:tabs>
                      <w:tab w:val="center" w:pos="4153"/>
                      <w:tab w:val="right" w:pos="8306"/>
                    </w:tabs>
                    <w:snapToGrid w:val="0"/>
                    <w:spacing w:line="240" w:lineRule="auto"/>
                    <w:jc w:val="center"/>
                    <w:textAlignment w:val="center"/>
                    <w:rPr>
                      <w:rFonts w:eastAsia="宋体"/>
                      <w:sz w:val="21"/>
                      <w:szCs w:val="21"/>
                    </w:rPr>
                  </w:pPr>
                </w:p>
              </w:tc>
              <w:tc>
                <w:tcPr>
                  <w:tcW w:w="1836"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1000</w:t>
                  </w:r>
                </w:p>
              </w:tc>
              <w:tc>
                <w:tcPr>
                  <w:tcW w:w="283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124</w:t>
                  </w:r>
                </w:p>
              </w:tc>
            </w:tr>
          </w:tbl>
          <w:p>
            <w:pPr>
              <w:pStyle w:val="26"/>
              <w:snapToGrid w:val="0"/>
              <w:spacing w:after="0" w:line="240" w:lineRule="auto"/>
              <w:ind w:left="560" w:firstLine="0" w:firstLineChars="0"/>
              <w:rPr>
                <w:rFonts w:eastAsia="宋体"/>
                <w:color w:val="000000"/>
                <w:kern w:val="0"/>
                <w:sz w:val="24"/>
              </w:rPr>
            </w:pPr>
            <w:r>
              <w:rPr>
                <w:rFonts w:eastAsia="宋体"/>
                <w:color w:val="000000"/>
                <w:kern w:val="0"/>
                <w:sz w:val="22"/>
              </w:rPr>
              <w:t>注：根据《环境影响评价技术导则  地下水环境》（HJ610-2016）中“10.3.2”，参照《地表水环境质量标准》（GB3838-2002）执行</w:t>
            </w:r>
            <w:r>
              <w:rPr>
                <w:rFonts w:eastAsia="宋体"/>
                <w:color w:val="000000"/>
                <w:kern w:val="0"/>
                <w:sz w:val="24"/>
              </w:rPr>
              <w:t>。</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由预测结果可知，在不考虑或采取任何防渗措施前提下，当加油过程造成泄漏渗入地下后，泄漏油品可对一定范围内地下水环境造成影响。</w:t>
            </w:r>
          </w:p>
          <w:p>
            <w:pPr>
              <w:pStyle w:val="25"/>
              <w:ind w:firstLine="240"/>
              <w:rPr>
                <w:rFonts w:eastAsia="宋体"/>
                <w:sz w:val="24"/>
                <w:szCs w:val="24"/>
              </w:rPr>
            </w:pPr>
            <w:r>
              <w:rPr>
                <w:rFonts w:hint="eastAsia" w:eastAsia="宋体"/>
                <w:sz w:val="24"/>
                <w:szCs w:val="24"/>
              </w:rPr>
              <w:t>（2）防渗要求</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根据《加油站地下水污染防治技术指南（试行）》，为防止加油站油品泄漏，污染土壤和地下水，需要采取防渗漏和防渗漏检测措施，防渗区域主要是埋地油罐区、油罐人孔操作井、卸油口井、加油机底槽、输油管线区。根据《环境影响评价技术导则 地下水环境》（HJ610-2016），项目区域土壤渗透系数约0.0</w:t>
            </w:r>
            <w:r>
              <w:rPr>
                <w:rFonts w:hint="eastAsia" w:eastAsia="宋体" w:cs="宋体"/>
                <w:kern w:val="0"/>
                <w:sz w:val="24"/>
                <w:szCs w:val="24"/>
              </w:rPr>
              <w:t>02546</w:t>
            </w:r>
            <w:r>
              <w:rPr>
                <w:rFonts w:eastAsia="宋体" w:cs="宋体"/>
                <w:kern w:val="0"/>
                <w:sz w:val="24"/>
                <w:szCs w:val="24"/>
              </w:rPr>
              <w:t>cm/s，大于1×10</w:t>
            </w:r>
            <w:r>
              <w:rPr>
                <w:rFonts w:eastAsia="宋体" w:cs="宋体"/>
                <w:kern w:val="0"/>
                <w:sz w:val="24"/>
                <w:szCs w:val="24"/>
                <w:vertAlign w:val="superscript"/>
              </w:rPr>
              <w:t>-4</w:t>
            </w:r>
            <w:r>
              <w:rPr>
                <w:rFonts w:eastAsia="宋体" w:cs="宋体"/>
                <w:kern w:val="0"/>
                <w:sz w:val="24"/>
                <w:szCs w:val="24"/>
              </w:rPr>
              <w:t>cm/s，天然包气带防污性能为</w:t>
            </w:r>
            <w:r>
              <w:rPr>
                <w:rFonts w:hint="eastAsia" w:eastAsia="宋体" w:cs="宋体"/>
                <w:kern w:val="0"/>
                <w:sz w:val="24"/>
                <w:szCs w:val="24"/>
              </w:rPr>
              <w:t>弱</w:t>
            </w:r>
            <w:r>
              <w:rPr>
                <w:rFonts w:eastAsia="宋体" w:cs="宋体"/>
                <w:kern w:val="0"/>
                <w:sz w:val="24"/>
                <w:szCs w:val="24"/>
              </w:rPr>
              <w:t>；本项目储油罐为</w:t>
            </w:r>
            <w:r>
              <w:rPr>
                <w:rFonts w:hint="eastAsia" w:eastAsia="宋体" w:cs="宋体"/>
                <w:kern w:val="0"/>
                <w:sz w:val="24"/>
                <w:szCs w:val="24"/>
              </w:rPr>
              <w:t>SF型</w:t>
            </w:r>
            <w:r>
              <w:rPr>
                <w:rFonts w:eastAsia="宋体" w:cs="宋体"/>
                <w:kern w:val="0"/>
                <w:sz w:val="24"/>
                <w:szCs w:val="24"/>
              </w:rPr>
              <w:t>双层油罐，输油管道为</w:t>
            </w:r>
            <w:r>
              <w:rPr>
                <w:rFonts w:hint="eastAsia" w:eastAsia="宋体" w:cs="宋体"/>
                <w:kern w:val="0"/>
                <w:sz w:val="24"/>
                <w:szCs w:val="24"/>
              </w:rPr>
              <w:t>无缝钢管</w:t>
            </w:r>
            <w:r>
              <w:rPr>
                <w:rFonts w:eastAsia="宋体" w:cs="宋体"/>
                <w:kern w:val="0"/>
                <w:sz w:val="24"/>
                <w:szCs w:val="24"/>
              </w:rPr>
              <w:t>，每台油罐均设置带有高液位报警功能和渗漏检测功能的液位监测系统，污染物泄漏后可及时发现和处理，控制难易程度分级为易；根据导则表7，上述防渗区防渗等级为重点防渗区，所采取防渗措施防渗性能应采用不低于</w:t>
            </w:r>
            <w:r>
              <w:rPr>
                <w:rFonts w:hint="eastAsia" w:eastAsia="宋体" w:cs="宋体"/>
                <w:kern w:val="0"/>
                <w:sz w:val="24"/>
                <w:szCs w:val="24"/>
              </w:rPr>
              <w:t>等效</w:t>
            </w:r>
            <w:r>
              <w:rPr>
                <w:rFonts w:eastAsia="宋体" w:cs="宋体"/>
                <w:kern w:val="0"/>
                <w:sz w:val="24"/>
                <w:szCs w:val="24"/>
              </w:rPr>
              <w:t>6.0m厚渗透系数</w:t>
            </w:r>
            <w:r>
              <w:rPr>
                <w:rFonts w:hint="eastAsia" w:eastAsia="宋体" w:cs="宋体"/>
                <w:kern w:val="0"/>
                <w:sz w:val="24"/>
                <w:szCs w:val="24"/>
              </w:rPr>
              <w:t>小于</w:t>
            </w:r>
            <w:r>
              <w:rPr>
                <w:rFonts w:eastAsia="宋体" w:cs="宋体"/>
                <w:kern w:val="0"/>
                <w:sz w:val="24"/>
                <w:szCs w:val="24"/>
              </w:rPr>
              <w:t>1.0×10</w:t>
            </w:r>
            <w:r>
              <w:rPr>
                <w:rFonts w:eastAsia="宋体" w:cs="宋体"/>
                <w:kern w:val="0"/>
                <w:sz w:val="24"/>
                <w:szCs w:val="24"/>
                <w:vertAlign w:val="superscript"/>
              </w:rPr>
              <w:t>-7</w:t>
            </w:r>
            <w:r>
              <w:rPr>
                <w:rFonts w:eastAsia="宋体" w:cs="宋体"/>
                <w:kern w:val="0"/>
                <w:sz w:val="24"/>
                <w:szCs w:val="24"/>
              </w:rPr>
              <w:t>cm/s的黏土层的防渗性能。</w:t>
            </w:r>
          </w:p>
          <w:p>
            <w:pPr>
              <w:autoSpaceDE w:val="0"/>
              <w:autoSpaceDN w:val="0"/>
              <w:adjustRightInd w:val="0"/>
              <w:ind w:right="140" w:rightChars="50" w:firstLine="480" w:firstLineChars="200"/>
              <w:rPr>
                <w:rFonts w:eastAsia="宋体" w:cs="宋体"/>
                <w:kern w:val="0"/>
                <w:sz w:val="24"/>
                <w:szCs w:val="24"/>
              </w:rPr>
            </w:pPr>
            <w:r>
              <w:rPr>
                <w:rFonts w:eastAsia="宋体" w:cs="宋体"/>
                <w:kern w:val="0"/>
                <w:sz w:val="24"/>
                <w:szCs w:val="24"/>
              </w:rPr>
              <w:t>此外加油站化粪池污染物类型属于其他类型，因此均为一般防渗区，应采取相应防渗措施，使其防渗性能不低于</w:t>
            </w:r>
            <w:r>
              <w:rPr>
                <w:rFonts w:hint="eastAsia" w:eastAsia="宋体" w:cs="宋体"/>
                <w:kern w:val="0"/>
                <w:sz w:val="24"/>
                <w:szCs w:val="24"/>
              </w:rPr>
              <w:t>等效</w:t>
            </w:r>
            <w:r>
              <w:rPr>
                <w:rFonts w:eastAsia="宋体" w:cs="宋体"/>
                <w:kern w:val="0"/>
                <w:sz w:val="24"/>
                <w:szCs w:val="24"/>
              </w:rPr>
              <w:t>1.5m厚渗透系数</w:t>
            </w:r>
            <w:r>
              <w:rPr>
                <w:rFonts w:hint="eastAsia" w:eastAsia="宋体" w:cs="宋体"/>
                <w:kern w:val="0"/>
                <w:sz w:val="24"/>
                <w:szCs w:val="24"/>
              </w:rPr>
              <w:t>小于</w:t>
            </w:r>
            <w:r>
              <w:rPr>
                <w:rFonts w:eastAsia="宋体" w:cs="宋体"/>
                <w:kern w:val="0"/>
                <w:sz w:val="24"/>
                <w:szCs w:val="24"/>
              </w:rPr>
              <w:t>1.0×10</w:t>
            </w:r>
            <w:r>
              <w:rPr>
                <w:rFonts w:eastAsia="宋体" w:cs="宋体"/>
                <w:kern w:val="0"/>
                <w:sz w:val="24"/>
                <w:szCs w:val="24"/>
                <w:vertAlign w:val="superscript"/>
              </w:rPr>
              <w:t>-7</w:t>
            </w:r>
            <w:r>
              <w:rPr>
                <w:rFonts w:eastAsia="宋体" w:cs="宋体"/>
                <w:kern w:val="0"/>
                <w:sz w:val="24"/>
                <w:szCs w:val="24"/>
              </w:rPr>
              <w:t>cm/s的黏土层的防渗性能。具体防渗要求分区见下表：</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w:t>
            </w:r>
            <w:r>
              <w:rPr>
                <w:rFonts w:hint="eastAsia"/>
                <w:b/>
                <w:bCs/>
                <w:snapToGrid w:val="0"/>
                <w:color w:val="000000"/>
                <w:kern w:val="0"/>
                <w:sz w:val="24"/>
                <w:szCs w:val="24"/>
              </w:rPr>
              <w:t>7-20</w:t>
            </w:r>
            <w:r>
              <w:rPr>
                <w:b/>
                <w:bCs/>
                <w:snapToGrid w:val="0"/>
                <w:color w:val="000000"/>
                <w:kern w:val="0"/>
                <w:sz w:val="24"/>
                <w:szCs w:val="24"/>
              </w:rPr>
              <w:t xml:space="preserve"> 项目防渗分区及防渗系数要求</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694"/>
              <w:gridCol w:w="2492"/>
              <w:gridCol w:w="27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序号</w:t>
                  </w:r>
                </w:p>
              </w:tc>
              <w:tc>
                <w:tcPr>
                  <w:tcW w:w="269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区域</w:t>
                  </w:r>
                </w:p>
              </w:tc>
              <w:tc>
                <w:tcPr>
                  <w:tcW w:w="249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防渗类别</w:t>
                  </w:r>
                </w:p>
              </w:tc>
              <w:tc>
                <w:tcPr>
                  <w:tcW w:w="275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1</w:t>
                  </w:r>
                </w:p>
              </w:tc>
              <w:tc>
                <w:tcPr>
                  <w:tcW w:w="269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埋地油罐区</w:t>
                  </w:r>
                  <w:r>
                    <w:rPr>
                      <w:rFonts w:hint="eastAsia" w:eastAsia="宋体"/>
                      <w:sz w:val="21"/>
                      <w:szCs w:val="21"/>
                    </w:rPr>
                    <w:t>、加油区</w:t>
                  </w:r>
                </w:p>
              </w:tc>
              <w:tc>
                <w:tcPr>
                  <w:tcW w:w="249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重点防渗区</w:t>
                  </w:r>
                </w:p>
              </w:tc>
              <w:tc>
                <w:tcPr>
                  <w:tcW w:w="275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等效黏土防渗层Mb≥6.0m，K≤1×10</w:t>
                  </w:r>
                  <w:r>
                    <w:rPr>
                      <w:rFonts w:eastAsia="宋体"/>
                      <w:sz w:val="21"/>
                      <w:szCs w:val="21"/>
                      <w:vertAlign w:val="superscript"/>
                    </w:rPr>
                    <w:t>-7</w:t>
                  </w:r>
                  <w:r>
                    <w:rPr>
                      <w:rFonts w:eastAsia="宋体"/>
                      <w:sz w:val="21"/>
                      <w:szCs w:val="21"/>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2</w:t>
                  </w:r>
                </w:p>
              </w:tc>
              <w:tc>
                <w:tcPr>
                  <w:tcW w:w="2694"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化粪池</w:t>
                  </w:r>
                </w:p>
              </w:tc>
              <w:tc>
                <w:tcPr>
                  <w:tcW w:w="2492"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hint="eastAsia" w:eastAsia="宋体"/>
                      <w:sz w:val="21"/>
                      <w:szCs w:val="21"/>
                    </w:rPr>
                    <w:t>一般防渗区</w:t>
                  </w:r>
                </w:p>
              </w:tc>
              <w:tc>
                <w:tcPr>
                  <w:tcW w:w="2750" w:type="dxa"/>
                  <w:vAlign w:val="center"/>
                </w:tcPr>
                <w:p>
                  <w:pPr>
                    <w:widowControl w:val="0"/>
                    <w:tabs>
                      <w:tab w:val="center" w:pos="4153"/>
                      <w:tab w:val="right" w:pos="8306"/>
                    </w:tabs>
                    <w:snapToGrid w:val="0"/>
                    <w:spacing w:line="240" w:lineRule="auto"/>
                    <w:jc w:val="center"/>
                    <w:textAlignment w:val="center"/>
                    <w:rPr>
                      <w:rFonts w:eastAsia="宋体"/>
                      <w:sz w:val="21"/>
                      <w:szCs w:val="21"/>
                    </w:rPr>
                  </w:pPr>
                  <w:r>
                    <w:rPr>
                      <w:rFonts w:eastAsia="宋体"/>
                      <w:sz w:val="21"/>
                      <w:szCs w:val="21"/>
                    </w:rPr>
                    <w:t>等效黏土防渗层Mb≥</w:t>
                  </w:r>
                  <w:r>
                    <w:rPr>
                      <w:rFonts w:hint="eastAsia" w:eastAsia="宋体"/>
                      <w:sz w:val="21"/>
                      <w:szCs w:val="21"/>
                    </w:rPr>
                    <w:t>1.5</w:t>
                  </w:r>
                  <w:r>
                    <w:rPr>
                      <w:rFonts w:eastAsia="宋体"/>
                      <w:sz w:val="21"/>
                      <w:szCs w:val="21"/>
                    </w:rPr>
                    <w:t>m，K≤1×10</w:t>
                  </w:r>
                  <w:r>
                    <w:rPr>
                      <w:rFonts w:eastAsia="宋体"/>
                      <w:sz w:val="21"/>
                      <w:szCs w:val="21"/>
                      <w:vertAlign w:val="superscript"/>
                    </w:rPr>
                    <w:t>-7</w:t>
                  </w:r>
                  <w:r>
                    <w:rPr>
                      <w:rFonts w:eastAsia="宋体"/>
                      <w:sz w:val="21"/>
                      <w:szCs w:val="21"/>
                    </w:rPr>
                    <w:t>cm/s</w:t>
                  </w:r>
                </w:p>
              </w:tc>
            </w:tr>
          </w:tbl>
          <w:p>
            <w:pPr>
              <w:autoSpaceDE w:val="0"/>
              <w:autoSpaceDN w:val="0"/>
              <w:adjustRightInd w:val="0"/>
              <w:ind w:right="140" w:rightChars="50" w:firstLine="480" w:firstLineChars="200"/>
              <w:rPr>
                <w:rFonts w:eastAsia="宋体" w:cs="宋体"/>
                <w:kern w:val="0"/>
                <w:sz w:val="24"/>
                <w:szCs w:val="24"/>
              </w:rPr>
            </w:pPr>
            <w:r>
              <w:rPr>
                <w:rFonts w:hint="eastAsia" w:eastAsia="宋体" w:cs="宋体"/>
                <w:kern w:val="0"/>
                <w:sz w:val="24"/>
                <w:szCs w:val="24"/>
              </w:rPr>
              <w:t>（3）</w:t>
            </w:r>
            <w:r>
              <w:rPr>
                <w:rFonts w:eastAsia="宋体" w:cs="宋体"/>
                <w:kern w:val="0"/>
                <w:sz w:val="24"/>
                <w:szCs w:val="24"/>
              </w:rPr>
              <w:t>防渗措施</w:t>
            </w:r>
          </w:p>
          <w:p>
            <w:pPr>
              <w:autoSpaceDE w:val="0"/>
              <w:autoSpaceDN w:val="0"/>
              <w:adjustRightInd w:val="0"/>
              <w:ind w:right="140" w:rightChars="50" w:firstLine="480" w:firstLineChars="200"/>
              <w:rPr>
                <w:rFonts w:eastAsia="宋体"/>
                <w:sz w:val="24"/>
                <w:szCs w:val="24"/>
              </w:rPr>
            </w:pPr>
            <w:r>
              <w:rPr>
                <w:rFonts w:eastAsia="宋体" w:cs="宋体"/>
                <w:kern w:val="0"/>
                <w:sz w:val="24"/>
                <w:szCs w:val="24"/>
              </w:rPr>
              <w:t>本项目埋地油罐采用钢筋混凝土防渗罐池保护，油罐采用</w:t>
            </w:r>
            <w:r>
              <w:rPr>
                <w:rFonts w:hint="eastAsia" w:eastAsia="宋体" w:cs="宋体"/>
                <w:kern w:val="0"/>
                <w:sz w:val="24"/>
                <w:szCs w:val="24"/>
              </w:rPr>
              <w:t>SF</w:t>
            </w:r>
            <w:r>
              <w:rPr>
                <w:rFonts w:eastAsia="宋体" w:cs="宋体"/>
                <w:kern w:val="0"/>
                <w:sz w:val="24"/>
                <w:szCs w:val="24"/>
              </w:rPr>
              <w:t>型双层油罐，加油管道采用双层复合材料管道。其余金属管道采用厚壁管且均安装在混凝土管沟内。同时本项目将按《汽车加油加气站设计与施工规范》（</w:t>
            </w:r>
            <w:r>
              <w:rPr>
                <w:rFonts w:hint="eastAsia" w:eastAsia="宋体" w:cs="宋体"/>
                <w:kern w:val="0"/>
                <w:sz w:val="24"/>
                <w:szCs w:val="24"/>
              </w:rPr>
              <w:t>GB50156-2012，2014修订版</w:t>
            </w:r>
            <w:r>
              <w:rPr>
                <w:rFonts w:eastAsia="宋体" w:cs="宋体"/>
                <w:kern w:val="0"/>
                <w:sz w:val="24"/>
                <w:szCs w:val="24"/>
              </w:rPr>
              <w:t>）的防渗措施以及《地下工程防水技术规范》（</w:t>
            </w:r>
            <w:r>
              <w:rPr>
                <w:rFonts w:hint="eastAsia" w:eastAsia="宋体" w:cs="宋体"/>
                <w:kern w:val="0"/>
                <w:sz w:val="24"/>
                <w:szCs w:val="24"/>
              </w:rPr>
              <w:t>GB50108-2008</w:t>
            </w:r>
            <w:r>
              <w:rPr>
                <w:rFonts w:eastAsia="宋体" w:cs="宋体"/>
                <w:kern w:val="0"/>
                <w:sz w:val="24"/>
                <w:szCs w:val="24"/>
              </w:rPr>
              <w:t>）的有关规定进行</w:t>
            </w:r>
            <w:r>
              <w:rPr>
                <w:rFonts w:hint="eastAsia" w:eastAsia="宋体" w:cs="宋体"/>
                <w:kern w:val="0"/>
                <w:sz w:val="24"/>
                <w:szCs w:val="24"/>
              </w:rPr>
              <w:t>设计。</w:t>
            </w:r>
            <w:r>
              <w:rPr>
                <w:rFonts w:eastAsia="宋体"/>
                <w:sz w:val="24"/>
                <w:szCs w:val="24"/>
              </w:rPr>
              <w:t>双层油罐、防渗罐池的渗漏检测采用在线监测系统</w:t>
            </w:r>
            <w:r>
              <w:rPr>
                <w:rFonts w:hint="eastAsia" w:eastAsia="宋体"/>
                <w:sz w:val="24"/>
                <w:szCs w:val="24"/>
              </w:rPr>
              <w:t>；制定地下水跟踪监测计划，</w:t>
            </w:r>
            <w:r>
              <w:rPr>
                <w:rFonts w:eastAsia="宋体"/>
                <w:sz w:val="24"/>
                <w:szCs w:val="24"/>
              </w:rPr>
              <w:t>设置常规地下水监测井，开展地下水常规监测</w:t>
            </w:r>
            <w:r>
              <w:rPr>
                <w:rFonts w:hint="eastAsia" w:eastAsia="宋体"/>
                <w:sz w:val="24"/>
                <w:szCs w:val="24"/>
              </w:rPr>
              <w:t>（详见章节7.3）</w:t>
            </w:r>
            <w:r>
              <w:rPr>
                <w:rFonts w:eastAsia="宋体"/>
                <w:sz w:val="24"/>
                <w:szCs w:val="24"/>
              </w:rPr>
              <w:t>。</w:t>
            </w:r>
          </w:p>
          <w:p>
            <w:pPr>
              <w:tabs>
                <w:tab w:val="left" w:pos="360"/>
              </w:tabs>
              <w:snapToGrid w:val="0"/>
              <w:ind w:firstLine="460" w:firstLineChars="192"/>
              <w:rPr>
                <w:rFonts w:eastAsia="宋体"/>
                <w:sz w:val="24"/>
                <w:szCs w:val="24"/>
              </w:rPr>
            </w:pPr>
            <w:r>
              <w:rPr>
                <w:rFonts w:eastAsia="宋体"/>
                <w:sz w:val="24"/>
                <w:szCs w:val="24"/>
              </w:rPr>
              <w:t>综上所述，企业在加强管理，强化防控措施的前提下，对区域地下水环境造成影响的可能性较小，不会对评价区地下水产生明显影响。</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7.2.6土壤环境影响</w:t>
            </w:r>
            <w:r>
              <w:rPr>
                <w:rFonts w:ascii="Times New Roman" w:hAnsi="Times New Roman" w:cs="Times New Roman"/>
                <w:b/>
                <w:sz w:val="24"/>
                <w:szCs w:val="24"/>
              </w:rPr>
              <w:t>分析</w:t>
            </w:r>
          </w:p>
          <w:p>
            <w:pPr>
              <w:widowControl w:val="0"/>
              <w:snapToGrid w:val="0"/>
              <w:ind w:firstLine="482" w:firstLineChars="201"/>
              <w:jc w:val="both"/>
              <w:rPr>
                <w:rFonts w:eastAsia="宋体"/>
                <w:kern w:val="24"/>
                <w:sz w:val="24"/>
                <w:szCs w:val="24"/>
              </w:rPr>
            </w:pPr>
            <w:r>
              <w:rPr>
                <w:rFonts w:hint="eastAsia" w:eastAsia="宋体"/>
                <w:kern w:val="24"/>
                <w:sz w:val="24"/>
                <w:szCs w:val="24"/>
              </w:rPr>
              <w:t>根据《环境影响评价技术导则 土壤环境（试行）》（HJ964-2018），本项目属于污染影响型，行业类别属于“附录 A社会事业与服务业-加油站”，属于“Ⅲ类”项目，本项目永久占地规模为小型。项目周边50m范围内无敏感点，土壤敏感程度为不敏感。判别依据如表7-21。</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表7-</w:t>
            </w:r>
            <w:r>
              <w:rPr>
                <w:rFonts w:hint="eastAsia"/>
                <w:b/>
                <w:bCs/>
                <w:snapToGrid w:val="0"/>
                <w:color w:val="000000"/>
                <w:kern w:val="0"/>
                <w:sz w:val="24"/>
                <w:szCs w:val="24"/>
              </w:rPr>
              <w:t>21</w:t>
            </w:r>
            <w:r>
              <w:rPr>
                <w:b/>
                <w:bCs/>
                <w:snapToGrid w:val="0"/>
                <w:color w:val="000000"/>
                <w:kern w:val="0"/>
                <w:sz w:val="24"/>
                <w:szCs w:val="24"/>
              </w:rPr>
              <w:t xml:space="preserve">  污染影响型敏感程度分级表</w:t>
            </w:r>
          </w:p>
          <w:tbl>
            <w:tblPr>
              <w:tblStyle w:val="28"/>
              <w:tblW w:w="906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74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敏感程度</w:t>
                  </w:r>
                </w:p>
              </w:tc>
              <w:tc>
                <w:tcPr>
                  <w:tcW w:w="7438"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判别依据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敏感</w:t>
                  </w:r>
                </w:p>
              </w:tc>
              <w:tc>
                <w:tcPr>
                  <w:tcW w:w="7438"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建设项目周边存在耕地、园地、牧草地、饮用水水源地或居民区、学校、 医院、疗养院、养老院等土壤环境敏感目标的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较敏感</w:t>
                  </w:r>
                </w:p>
              </w:tc>
              <w:tc>
                <w:tcPr>
                  <w:tcW w:w="7438"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建设项目周边存在其他土壤环境敏感目标的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22"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不敏感</w:t>
                  </w:r>
                </w:p>
              </w:tc>
              <w:tc>
                <w:tcPr>
                  <w:tcW w:w="7438" w:type="dxa"/>
                  <w:tcBorders>
                    <w:tl2br w:val="nil"/>
                    <w:tr2bl w:val="nil"/>
                  </w:tcBorders>
                  <w:vAlign w:val="center"/>
                </w:tcPr>
                <w:p>
                  <w:pPr>
                    <w:pStyle w:val="22"/>
                    <w:jc w:val="center"/>
                    <w:rPr>
                      <w:rFonts w:ascii="Times New Roman" w:hAnsi="Times New Roman" w:cs="Times New Roman"/>
                      <w:color w:val="000000"/>
                      <w:sz w:val="21"/>
                      <w:szCs w:val="21"/>
                    </w:rPr>
                  </w:pPr>
                  <w:r>
                    <w:rPr>
                      <w:rFonts w:ascii="Times New Roman" w:hAnsi="Times New Roman" w:cs="Times New Roman"/>
                      <w:color w:val="000000"/>
                      <w:sz w:val="21"/>
                      <w:szCs w:val="21"/>
                    </w:rPr>
                    <w:t>其他情况</w:t>
                  </w:r>
                </w:p>
              </w:tc>
            </w:tr>
          </w:tbl>
          <w:p>
            <w:pPr>
              <w:widowControl w:val="0"/>
              <w:snapToGrid w:val="0"/>
              <w:ind w:firstLine="482" w:firstLineChars="201"/>
              <w:jc w:val="both"/>
              <w:rPr>
                <w:rFonts w:eastAsia="宋体"/>
                <w:kern w:val="24"/>
                <w:sz w:val="24"/>
                <w:szCs w:val="24"/>
              </w:rPr>
            </w:pPr>
            <w:r>
              <w:rPr>
                <w:rFonts w:hint="eastAsia" w:eastAsia="宋体"/>
                <w:kern w:val="24"/>
                <w:sz w:val="24"/>
                <w:szCs w:val="24"/>
              </w:rPr>
              <w:t>本项目根据土壤环境影响评价项目类别、占地规模与敏感程度划分评价工作等级， 如表7-22。</w:t>
            </w:r>
          </w:p>
          <w:p>
            <w:pPr>
              <w:adjustRightInd w:val="0"/>
              <w:spacing w:line="360" w:lineRule="atLeast"/>
              <w:jc w:val="center"/>
              <w:textAlignment w:val="baseline"/>
              <w:rPr>
                <w:b/>
                <w:bCs/>
                <w:snapToGrid w:val="0"/>
                <w:color w:val="000000"/>
                <w:kern w:val="0"/>
                <w:sz w:val="24"/>
                <w:szCs w:val="24"/>
              </w:rPr>
            </w:pPr>
            <w:r>
              <w:rPr>
                <w:b/>
                <w:bCs/>
                <w:snapToGrid w:val="0"/>
                <w:color w:val="000000"/>
                <w:kern w:val="0"/>
                <w:sz w:val="24"/>
                <w:szCs w:val="24"/>
              </w:rPr>
              <w:t>表7-</w:t>
            </w:r>
            <w:r>
              <w:rPr>
                <w:rFonts w:hint="eastAsia"/>
                <w:b/>
                <w:bCs/>
                <w:snapToGrid w:val="0"/>
                <w:color w:val="000000"/>
                <w:kern w:val="0"/>
                <w:sz w:val="24"/>
                <w:szCs w:val="24"/>
              </w:rPr>
              <w:t>22</w:t>
            </w:r>
            <w:r>
              <w:rPr>
                <w:b/>
                <w:bCs/>
                <w:snapToGrid w:val="0"/>
                <w:color w:val="000000"/>
                <w:kern w:val="0"/>
                <w:sz w:val="24"/>
                <w:szCs w:val="24"/>
              </w:rPr>
              <w:t xml:space="preserve">  污染影响型评价工作等级划分表 </w:t>
            </w:r>
          </w:p>
          <w:tbl>
            <w:tblPr>
              <w:tblStyle w:val="28"/>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897"/>
              <w:gridCol w:w="748"/>
              <w:gridCol w:w="849"/>
              <w:gridCol w:w="692"/>
              <w:gridCol w:w="691"/>
              <w:gridCol w:w="692"/>
              <w:gridCol w:w="693"/>
              <w:gridCol w:w="691"/>
              <w:gridCol w:w="7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45" w:type="dxa"/>
                  <w:vMerge w:val="restart"/>
                  <w:tcBorders>
                    <w:tl2br w:val="nil"/>
                    <w:tr2bl w:val="nil"/>
                  </w:tcBorders>
                  <w:vAlign w:val="center"/>
                </w:tcPr>
                <w:p>
                  <w:pPr>
                    <w:ind w:left="840" w:hanging="840" w:hangingChars="400"/>
                    <w:jc w:val="center"/>
                    <w:rPr>
                      <w:rFonts w:eastAsia="宋体"/>
                      <w:color w:val="000000"/>
                      <w:sz w:val="21"/>
                      <w:szCs w:val="21"/>
                    </w:rPr>
                  </w:pPr>
                  <w:r>
                    <w:rPr>
                      <w:rFonts w:eastAsia="宋体"/>
                      <w:color w:val="000000"/>
                      <w:sz w:val="21"/>
                      <w:szCs w:val="21"/>
                    </w:rPr>
                    <w:pict>
                      <v:line id="直线 117" o:spid="_x0000_s1062" o:spt="20" style="position:absolute;left:0pt;margin-left:-4pt;margin-top:-0.65pt;height:58.1pt;width:81.65pt;z-index:251710464;mso-width-relative:page;mso-height-relative:page;" coordsize="21600,21600" o:gfxdata="UEsDBAoAAAAAAIdO4kAAAAAAAAAAAAAAAAAEAAAAZHJzL1BLAwQUAAAACACHTuJAC6uMq9cAAAAJ&#10;AQAADwAAAGRycy9kb3ducmV2LnhtbE2PT0/DMAzF70h8h8hIXKYt6cbQKE13AHrjwgBx9RrTVjRO&#10;12R/4NPjneDkZz3r+feK9cn36kBj7AJbyGYGFHEdXMeNhbfXaroCFROywz4wWfimCOvy8qLA3IUj&#10;v9BhkxolIRxztNCmNORax7olj3EWBmLxPsPoMck6NtqNeJRw3+u5MbfaY8fyocWBHlqqvzZ7byFW&#10;77Srfib1xHwsmkDz3ePzE1p7fZWZe1CJTunvGM74gg6lMG3Dnl1UvYXpSqokmdkC1NlfLkVsRWQ3&#10;d6DLQv9vUP4CUEsDBBQAAAAIAIdO4kDccM42zgEAAIkDAAAOAAAAZHJzL2Uyb0RvYy54bWytU0tu&#10;2zAQ3RfoHQjua1kOHDuC5SzippuiNdD0AGOSkgjwBw5r2WfpNbrqpsfJNTqkXadtNkFRLajhfN7M&#10;exqtbg/WsL2KqL1reT2Zcqac8FK7vuWfH+7fLDnDBE6C8U61/KiQ365fv1qNoVEzP3gjVWQE4rAZ&#10;Q8uHlEJTVSgGZQEnPihHwc5HC4musa9khJHQralm0+l1NfooQ/RCIZJ3cwrydcHvOiXSx65DlZhp&#10;Oc2WyhnLuctntV5B00cIgxbnMeAfprCgHTW9QG0gAfsS9TMoq0X06Ls0Ed5Wvuu0UIUDsamnf7H5&#10;NEBQhQuJg+EiE/4/WPFhv41My5YvSR4Hlr7R49dvj99/sLpeZHnGgA1l3bltPN8wbGPmeuiizW9i&#10;wQ5F0uNFUnVITJCznl5d38znnAmKLa4Wy0XRvHqqDhHTO+Uty0bLjXaZMjSwf4+JOlLqr5TsNo6N&#10;Lb+ZzzIm0MZ0BhKZNhAHdH2pRW+0vNfG5AqM/e7ORLaHvAPlybwI94+03GQDOJzySui0HYMC+dZJ&#10;lo6BxHG0xjyPYJXkzCja+mwRIDQJtHlJJrU2jibI0p7EzNbOy2PRuPjpe5cZz7uZF+r3e6l++oP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Lq4yr1wAAAAkBAAAPAAAAAAAAAAEAIAAAACIAAABk&#10;cnMvZG93bnJldi54bWxQSwECFAAUAAAACACHTuJA3HDONs4BAACJAwAADgAAAAAAAAABACAAAAAm&#10;AQAAZHJzL2Uyb0RvYy54bWxQSwUGAAAAAAYABgBZAQAAZgUAAAAA&#10;">
                        <v:path arrowok="t"/>
                        <v:fill focussize="0,0"/>
                        <v:stroke/>
                        <v:imagedata o:title=""/>
                        <o:lock v:ext="edit"/>
                      </v:line>
                    </w:pict>
                  </w:r>
                  <w:r>
                    <w:rPr>
                      <w:rFonts w:eastAsia="宋体"/>
                      <w:color w:val="000000"/>
                      <w:sz w:val="21"/>
                      <w:szCs w:val="21"/>
                    </w:rPr>
                    <w:t xml:space="preserve">    占地规模</w:t>
                  </w:r>
                </w:p>
                <w:p>
                  <w:pPr>
                    <w:ind w:left="840" w:hanging="840" w:hangingChars="400"/>
                    <w:jc w:val="center"/>
                    <w:rPr>
                      <w:rFonts w:eastAsia="宋体"/>
                      <w:color w:val="000000"/>
                      <w:sz w:val="21"/>
                      <w:szCs w:val="21"/>
                    </w:rPr>
                  </w:pPr>
                  <w:r>
                    <w:rPr>
                      <w:rFonts w:eastAsia="宋体"/>
                      <w:color w:val="000000"/>
                      <w:sz w:val="21"/>
                      <w:szCs w:val="21"/>
                    </w:rPr>
                    <w:t xml:space="preserve">     及类别</w:t>
                  </w:r>
                </w:p>
                <w:p>
                  <w:pPr>
                    <w:ind w:firstLine="210" w:firstLineChars="100"/>
                    <w:jc w:val="both"/>
                    <w:rPr>
                      <w:rFonts w:eastAsia="宋体"/>
                      <w:color w:val="000000"/>
                      <w:sz w:val="21"/>
                      <w:szCs w:val="21"/>
                    </w:rPr>
                  </w:pPr>
                  <w:r>
                    <w:rPr>
                      <w:rFonts w:eastAsia="宋体"/>
                      <w:color w:val="000000"/>
                      <w:sz w:val="21"/>
                      <w:szCs w:val="21"/>
                    </w:rPr>
                    <w:t>评价工</w:t>
                  </w:r>
                </w:p>
                <w:p>
                  <w:pPr>
                    <w:ind w:firstLine="210" w:firstLineChars="100"/>
                    <w:jc w:val="both"/>
                    <w:rPr>
                      <w:rFonts w:eastAsia="宋体"/>
                      <w:color w:val="000000"/>
                      <w:sz w:val="21"/>
                      <w:szCs w:val="21"/>
                    </w:rPr>
                  </w:pPr>
                  <w:r>
                    <w:rPr>
                      <w:rFonts w:eastAsia="宋体"/>
                      <w:color w:val="000000"/>
                      <w:sz w:val="21"/>
                      <w:szCs w:val="21"/>
                    </w:rPr>
                    <w:pict>
                      <v:line id="直接连接符 2" o:spid="_x0000_s1061" o:spt="20" style="position:absolute;left:0pt;margin-left:-3.15pt;margin-top:11pt;height:33.55pt;width:78.8pt;z-index:251709440;mso-width-relative:page;mso-height-relative:page;" coordsize="21600,21600" o:gfxdata="UEsDBAoAAAAAAIdO4kAAAAAAAAAAAAAAAAAEAAAAZHJzL1BLAwQUAAAACACHTuJA486MZdcAAAAI&#10;AQAADwAAAGRycy9kb3ducmV2LnhtbE2PvU7DQBCEeyTe4bRINFFytiOi4HidAnBHQwKi3fg2toVv&#10;z/FdfuDpuVRQ7sxo9ptifbG9OvHoOycI6SwBxVI700mD8L6tpktQPpAY6p0wwjd7WJe3NwXlxp3l&#10;jU+b0KhYIj4nhDaEIdfa1y1b8jM3sERv70ZLIZ5jo81I51hue50lyUJb6iR+aGngp5brr83RIvjq&#10;gw/Vz6SeJJ/zxnF2eH59IcT7uzRZgQp8CX9huOJHdCgj084dxXjVI0wX85hEyLI46eo/pFHYISwf&#10;U9Blof8PKH8BUEsDBBQAAAAIAIdO4kCwC2Yj1gEAAJADAAAOAAAAZHJzL2Uyb0RvYy54bWytU0uO&#10;EzEQ3SNxB8t70p0Wycy00pnFhGGDIBJwgIrtTlvyTy6TTi7BBZDYwYole27DcAzKTsjw2SBEL6rL&#10;9Xld77l6cb23hu1URO1dx6eTmjPlhJfabTv++tXto0vOMIGTYLxTHT8o5NfLhw8WY2hV4wdvpIqM&#10;QBy2Y+j4kFJoqwrFoCzgxAflKNn7aCHRMW4rGWEkdGuqpq7n1eijDNELhUjR1THJlwW/75VIL/oe&#10;VWKm4zRbKjYWu8m2Wi6g3UYIgxanMeAfprCgHX30DLWCBOxN1H9AWS2iR9+nifC28n2vhSociM20&#10;/o3NywGCKlxIHAxnmfD/wYrnu3VkWnb84oozB5bu6O7d569vP3z78p7s3aePrMkqjQFbKr5x63g6&#10;YVjHTHnfR5vfRIbti7KHs7Jqn5ig4LSu64s5XYCg3ONmXl/OMmh13x0ipqfKW5adjhvtMnNoYfcM&#10;07H0R0kOG8fGjl/NmhlhAi1ObyCRawNRQbctveiNlrfamNyBcbu5MZHtIK9CeU4j/FKWP7ICHI51&#10;JZXLoB0UyCdOsnQIpJGjbeZ5BKskZ0bR8mevVCbQ5m8qib1xJEKW9ihm9jZeHorGJU7XXmQ6rWje&#10;q5/Ppfv+R1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POjGXXAAAACAEAAA8AAAAAAAAAAQAg&#10;AAAAIgAAAGRycy9kb3ducmV2LnhtbFBLAQIUABQAAAAIAIdO4kCwC2Yj1gEAAJADAAAOAAAAAAAA&#10;AAEAIAAAACYBAABkcnMvZTJvRG9jLnhtbFBLBQYAAAAABgAGAFkBAABuBQAAAAA=&#10;">
                        <v:path arrowok="t"/>
                        <v:fill focussize="0,0"/>
                        <v:stroke/>
                        <v:imagedata o:title=""/>
                        <o:lock v:ext="edit"/>
                      </v:line>
                    </w:pict>
                  </w:r>
                  <w:r>
                    <w:rPr>
                      <w:rFonts w:eastAsia="宋体"/>
                      <w:color w:val="000000"/>
                      <w:sz w:val="21"/>
                      <w:szCs w:val="21"/>
                    </w:rPr>
                    <w:t>作等级</w:t>
                  </w:r>
                </w:p>
                <w:p>
                  <w:pPr>
                    <w:jc w:val="both"/>
                    <w:rPr>
                      <w:rFonts w:eastAsia="宋体"/>
                      <w:color w:val="000000"/>
                      <w:sz w:val="21"/>
                      <w:szCs w:val="21"/>
                    </w:rPr>
                  </w:pPr>
                </w:p>
                <w:p>
                  <w:pPr>
                    <w:jc w:val="both"/>
                    <w:rPr>
                      <w:rFonts w:eastAsia="宋体"/>
                      <w:color w:val="000000"/>
                      <w:sz w:val="21"/>
                      <w:szCs w:val="21"/>
                    </w:rPr>
                  </w:pPr>
                  <w:r>
                    <w:rPr>
                      <w:rFonts w:eastAsia="宋体"/>
                      <w:color w:val="000000"/>
                      <w:sz w:val="21"/>
                      <w:szCs w:val="21"/>
                    </w:rPr>
                    <w:t>敏感程度</w:t>
                  </w:r>
                </w:p>
              </w:tc>
              <w:tc>
                <w:tcPr>
                  <w:tcW w:w="2494" w:type="dxa"/>
                  <w:gridSpan w:val="3"/>
                  <w:tcBorders>
                    <w:tl2br w:val="nil"/>
                    <w:tr2bl w:val="nil"/>
                  </w:tcBorders>
                  <w:vAlign w:val="center"/>
                </w:tcPr>
                <w:p>
                  <w:pPr>
                    <w:jc w:val="center"/>
                    <w:rPr>
                      <w:rFonts w:eastAsia="宋体"/>
                      <w:color w:val="000000"/>
                      <w:sz w:val="21"/>
                      <w:szCs w:val="21"/>
                    </w:rPr>
                  </w:pPr>
                  <w:r>
                    <w:rPr>
                      <w:rFonts w:eastAsia="宋体"/>
                      <w:color w:val="000000"/>
                      <w:sz w:val="21"/>
                      <w:szCs w:val="21"/>
                    </w:rPr>
                    <w:t>Ⅰ类</w:t>
                  </w:r>
                </w:p>
              </w:tc>
              <w:tc>
                <w:tcPr>
                  <w:tcW w:w="2075" w:type="dxa"/>
                  <w:gridSpan w:val="3"/>
                  <w:tcBorders>
                    <w:tl2br w:val="nil"/>
                    <w:tr2bl w:val="nil"/>
                  </w:tcBorders>
                  <w:vAlign w:val="center"/>
                </w:tcPr>
                <w:p>
                  <w:pPr>
                    <w:jc w:val="center"/>
                    <w:rPr>
                      <w:rFonts w:eastAsia="宋体"/>
                      <w:color w:val="000000"/>
                      <w:sz w:val="21"/>
                      <w:szCs w:val="21"/>
                    </w:rPr>
                  </w:pPr>
                  <w:r>
                    <w:rPr>
                      <w:rFonts w:eastAsia="宋体"/>
                      <w:color w:val="000000"/>
                      <w:sz w:val="21"/>
                      <w:szCs w:val="21"/>
                    </w:rPr>
                    <w:t>Ⅱ 类</w:t>
                  </w:r>
                </w:p>
              </w:tc>
              <w:tc>
                <w:tcPr>
                  <w:tcW w:w="2092" w:type="dxa"/>
                  <w:gridSpan w:val="3"/>
                  <w:tcBorders>
                    <w:tl2br w:val="nil"/>
                    <w:tr2bl w:val="nil"/>
                  </w:tcBorders>
                  <w:vAlign w:val="center"/>
                </w:tcPr>
                <w:p>
                  <w:pPr>
                    <w:ind w:firstLine="735" w:firstLineChars="350"/>
                    <w:jc w:val="center"/>
                    <w:rPr>
                      <w:rFonts w:eastAsia="宋体"/>
                      <w:color w:val="000000"/>
                      <w:sz w:val="21"/>
                      <w:szCs w:val="21"/>
                    </w:rPr>
                  </w:pPr>
                  <w:r>
                    <w:rPr>
                      <w:rFonts w:eastAsia="宋体"/>
                      <w:color w:val="000000"/>
                      <w:sz w:val="21"/>
                      <w:szCs w:val="21"/>
                    </w:rPr>
                    <w:t>Ⅲ 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Merge w:val="continue"/>
                  <w:tcBorders>
                    <w:tl2br w:val="nil"/>
                    <w:tr2bl w:val="nil"/>
                  </w:tcBorders>
                  <w:vAlign w:val="center"/>
                </w:tcPr>
                <w:p>
                  <w:pPr>
                    <w:jc w:val="center"/>
                    <w:rPr>
                      <w:rFonts w:eastAsia="宋体"/>
                      <w:color w:val="000000"/>
                      <w:sz w:val="21"/>
                      <w:szCs w:val="21"/>
                    </w:rPr>
                  </w:pPr>
                </w:p>
              </w:tc>
              <w:tc>
                <w:tcPr>
                  <w:tcW w:w="897" w:type="dxa"/>
                  <w:tcBorders>
                    <w:tl2br w:val="nil"/>
                    <w:tr2bl w:val="nil"/>
                  </w:tcBorders>
                  <w:vAlign w:val="center"/>
                </w:tcPr>
                <w:p>
                  <w:pPr>
                    <w:jc w:val="center"/>
                    <w:rPr>
                      <w:rFonts w:eastAsia="宋体"/>
                      <w:color w:val="000000"/>
                      <w:sz w:val="21"/>
                      <w:szCs w:val="21"/>
                    </w:rPr>
                  </w:pPr>
                  <w:r>
                    <w:rPr>
                      <w:rFonts w:eastAsia="宋体"/>
                      <w:color w:val="000000"/>
                      <w:sz w:val="21"/>
                      <w:szCs w:val="21"/>
                    </w:rPr>
                    <w:t>大型</w:t>
                  </w:r>
                </w:p>
              </w:tc>
              <w:tc>
                <w:tcPr>
                  <w:tcW w:w="748" w:type="dxa"/>
                  <w:tcBorders>
                    <w:tl2br w:val="nil"/>
                    <w:tr2bl w:val="nil"/>
                  </w:tcBorders>
                  <w:vAlign w:val="center"/>
                </w:tcPr>
                <w:p>
                  <w:pPr>
                    <w:jc w:val="center"/>
                    <w:rPr>
                      <w:rFonts w:eastAsia="宋体"/>
                      <w:color w:val="000000"/>
                      <w:sz w:val="21"/>
                      <w:szCs w:val="21"/>
                    </w:rPr>
                  </w:pPr>
                  <w:r>
                    <w:rPr>
                      <w:rFonts w:eastAsia="宋体"/>
                      <w:color w:val="000000"/>
                      <w:sz w:val="21"/>
                      <w:szCs w:val="21"/>
                    </w:rPr>
                    <w:t>中型</w:t>
                  </w:r>
                </w:p>
              </w:tc>
              <w:tc>
                <w:tcPr>
                  <w:tcW w:w="849" w:type="dxa"/>
                  <w:tcBorders>
                    <w:tl2br w:val="nil"/>
                    <w:tr2bl w:val="nil"/>
                  </w:tcBorders>
                  <w:vAlign w:val="center"/>
                </w:tcPr>
                <w:p>
                  <w:pPr>
                    <w:jc w:val="center"/>
                    <w:rPr>
                      <w:rFonts w:eastAsia="宋体"/>
                      <w:color w:val="000000"/>
                      <w:sz w:val="21"/>
                      <w:szCs w:val="21"/>
                    </w:rPr>
                  </w:pPr>
                  <w:r>
                    <w:rPr>
                      <w:rFonts w:eastAsia="宋体"/>
                      <w:color w:val="000000"/>
                      <w:sz w:val="21"/>
                      <w:szCs w:val="21"/>
                    </w:rPr>
                    <w:t>小型</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大型</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中型</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小型</w:t>
                  </w:r>
                </w:p>
              </w:tc>
              <w:tc>
                <w:tcPr>
                  <w:tcW w:w="693" w:type="dxa"/>
                  <w:tcBorders>
                    <w:tl2br w:val="nil"/>
                    <w:tr2bl w:val="nil"/>
                  </w:tcBorders>
                  <w:vAlign w:val="center"/>
                </w:tcPr>
                <w:p>
                  <w:pPr>
                    <w:jc w:val="center"/>
                    <w:rPr>
                      <w:rFonts w:eastAsia="宋体"/>
                      <w:color w:val="000000"/>
                      <w:sz w:val="21"/>
                      <w:szCs w:val="21"/>
                    </w:rPr>
                  </w:pPr>
                  <w:r>
                    <w:rPr>
                      <w:rFonts w:eastAsia="宋体"/>
                      <w:color w:val="000000"/>
                      <w:sz w:val="21"/>
                      <w:szCs w:val="21"/>
                    </w:rPr>
                    <w:t>大型</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中型</w:t>
                  </w:r>
                </w:p>
              </w:tc>
              <w:tc>
                <w:tcPr>
                  <w:tcW w:w="708" w:type="dxa"/>
                  <w:tcBorders>
                    <w:tl2br w:val="nil"/>
                    <w:tr2bl w:val="nil"/>
                  </w:tcBorders>
                  <w:vAlign w:val="center"/>
                </w:tcPr>
                <w:p>
                  <w:pPr>
                    <w:jc w:val="center"/>
                    <w:rPr>
                      <w:rFonts w:eastAsia="宋体"/>
                      <w:color w:val="000000"/>
                      <w:sz w:val="21"/>
                      <w:szCs w:val="21"/>
                    </w:rPr>
                  </w:pPr>
                  <w:r>
                    <w:rPr>
                      <w:rFonts w:eastAsia="宋体"/>
                      <w:color w:val="000000"/>
                      <w:sz w:val="21"/>
                      <w:szCs w:val="21"/>
                    </w:rPr>
                    <w:t>小型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tcBorders>
                    <w:tl2br w:val="nil"/>
                    <w:tr2bl w:val="nil"/>
                  </w:tcBorders>
                  <w:vAlign w:val="center"/>
                </w:tcPr>
                <w:p>
                  <w:pPr>
                    <w:jc w:val="center"/>
                    <w:rPr>
                      <w:rFonts w:eastAsia="宋体"/>
                      <w:color w:val="000000"/>
                      <w:sz w:val="21"/>
                      <w:szCs w:val="21"/>
                    </w:rPr>
                  </w:pPr>
                  <w:r>
                    <w:rPr>
                      <w:rFonts w:eastAsia="宋体"/>
                      <w:color w:val="000000"/>
                      <w:sz w:val="21"/>
                      <w:szCs w:val="21"/>
                    </w:rPr>
                    <w:t>敏感</w:t>
                  </w:r>
                </w:p>
              </w:tc>
              <w:tc>
                <w:tcPr>
                  <w:tcW w:w="897" w:type="dxa"/>
                  <w:tcBorders>
                    <w:tl2br w:val="nil"/>
                    <w:tr2bl w:val="nil"/>
                  </w:tcBorders>
                  <w:vAlign w:val="center"/>
                </w:tcPr>
                <w:p>
                  <w:pPr>
                    <w:jc w:val="center"/>
                    <w:rPr>
                      <w:rFonts w:eastAsia="宋体"/>
                      <w:color w:val="000000"/>
                      <w:sz w:val="21"/>
                      <w:szCs w:val="21"/>
                    </w:rPr>
                  </w:pPr>
                  <w:r>
                    <w:rPr>
                      <w:rFonts w:eastAsia="宋体"/>
                      <w:color w:val="000000"/>
                      <w:sz w:val="21"/>
                      <w:szCs w:val="21"/>
                    </w:rPr>
                    <w:t>一 级</w:t>
                  </w:r>
                </w:p>
              </w:tc>
              <w:tc>
                <w:tcPr>
                  <w:tcW w:w="748" w:type="dxa"/>
                  <w:tcBorders>
                    <w:tl2br w:val="nil"/>
                    <w:tr2bl w:val="nil"/>
                  </w:tcBorders>
                  <w:vAlign w:val="center"/>
                </w:tcPr>
                <w:p>
                  <w:pPr>
                    <w:jc w:val="center"/>
                    <w:rPr>
                      <w:rFonts w:eastAsia="宋体"/>
                      <w:color w:val="000000"/>
                      <w:sz w:val="21"/>
                      <w:szCs w:val="21"/>
                    </w:rPr>
                  </w:pPr>
                  <w:r>
                    <w:rPr>
                      <w:rFonts w:eastAsia="宋体"/>
                      <w:color w:val="000000"/>
                      <w:sz w:val="21"/>
                      <w:szCs w:val="21"/>
                    </w:rPr>
                    <w:t>一 级</w:t>
                  </w:r>
                </w:p>
              </w:tc>
              <w:tc>
                <w:tcPr>
                  <w:tcW w:w="849" w:type="dxa"/>
                  <w:tcBorders>
                    <w:tl2br w:val="nil"/>
                    <w:tr2bl w:val="nil"/>
                  </w:tcBorders>
                  <w:vAlign w:val="center"/>
                </w:tcPr>
                <w:p>
                  <w:pPr>
                    <w:jc w:val="center"/>
                    <w:rPr>
                      <w:rFonts w:eastAsia="宋体"/>
                      <w:color w:val="000000"/>
                      <w:sz w:val="21"/>
                      <w:szCs w:val="21"/>
                    </w:rPr>
                  </w:pPr>
                  <w:r>
                    <w:rPr>
                      <w:rFonts w:eastAsia="宋体"/>
                      <w:color w:val="000000"/>
                      <w:sz w:val="21"/>
                      <w:szCs w:val="21"/>
                    </w:rPr>
                    <w:t>一 级</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3"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708"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tcBorders>
                    <w:tl2br w:val="nil"/>
                    <w:tr2bl w:val="nil"/>
                  </w:tcBorders>
                  <w:vAlign w:val="center"/>
                </w:tcPr>
                <w:p>
                  <w:pPr>
                    <w:jc w:val="center"/>
                    <w:rPr>
                      <w:rFonts w:eastAsia="宋体"/>
                      <w:color w:val="000000"/>
                      <w:sz w:val="21"/>
                      <w:szCs w:val="21"/>
                    </w:rPr>
                  </w:pPr>
                  <w:r>
                    <w:rPr>
                      <w:rFonts w:eastAsia="宋体"/>
                      <w:color w:val="000000"/>
                      <w:sz w:val="21"/>
                      <w:szCs w:val="21"/>
                    </w:rPr>
                    <w:t>较敏感</w:t>
                  </w:r>
                </w:p>
              </w:tc>
              <w:tc>
                <w:tcPr>
                  <w:tcW w:w="897" w:type="dxa"/>
                  <w:tcBorders>
                    <w:tl2br w:val="nil"/>
                    <w:tr2bl w:val="nil"/>
                  </w:tcBorders>
                  <w:vAlign w:val="center"/>
                </w:tcPr>
                <w:p>
                  <w:pPr>
                    <w:jc w:val="center"/>
                    <w:rPr>
                      <w:rFonts w:eastAsia="宋体"/>
                      <w:color w:val="000000"/>
                      <w:sz w:val="21"/>
                      <w:szCs w:val="21"/>
                    </w:rPr>
                  </w:pPr>
                  <w:r>
                    <w:rPr>
                      <w:rFonts w:eastAsia="宋体"/>
                      <w:color w:val="000000"/>
                      <w:sz w:val="21"/>
                      <w:szCs w:val="21"/>
                    </w:rPr>
                    <w:t>一 级</w:t>
                  </w:r>
                </w:p>
              </w:tc>
              <w:tc>
                <w:tcPr>
                  <w:tcW w:w="748" w:type="dxa"/>
                  <w:tcBorders>
                    <w:tl2br w:val="nil"/>
                    <w:tr2bl w:val="nil"/>
                  </w:tcBorders>
                  <w:vAlign w:val="center"/>
                </w:tcPr>
                <w:p>
                  <w:pPr>
                    <w:jc w:val="center"/>
                    <w:rPr>
                      <w:rFonts w:eastAsia="宋体"/>
                      <w:color w:val="000000"/>
                      <w:sz w:val="21"/>
                      <w:szCs w:val="21"/>
                    </w:rPr>
                  </w:pPr>
                  <w:r>
                    <w:rPr>
                      <w:rFonts w:eastAsia="宋体"/>
                      <w:color w:val="000000"/>
                      <w:sz w:val="21"/>
                      <w:szCs w:val="21"/>
                    </w:rPr>
                    <w:t>一 级</w:t>
                  </w:r>
                </w:p>
              </w:tc>
              <w:tc>
                <w:tcPr>
                  <w:tcW w:w="849"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693"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708" w:type="dxa"/>
                  <w:tcBorders>
                    <w:tl2br w:val="nil"/>
                    <w:tr2bl w:val="nil"/>
                  </w:tcBorders>
                  <w:vAlign w:val="center"/>
                </w:tcPr>
                <w:p>
                  <w:pPr>
                    <w:jc w:val="center"/>
                    <w:rPr>
                      <w:rFonts w:eastAsia="宋体"/>
                      <w:color w:val="000000"/>
                      <w:sz w:val="21"/>
                      <w:szCs w:val="21"/>
                    </w:rPr>
                  </w:pPr>
                  <w:r>
                    <w:rPr>
                      <w:rFonts w:eastAsia="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tcBorders>
                    <w:tl2br w:val="nil"/>
                    <w:tr2bl w:val="nil"/>
                  </w:tcBorders>
                  <w:vAlign w:val="center"/>
                </w:tcPr>
                <w:p>
                  <w:pPr>
                    <w:jc w:val="center"/>
                    <w:rPr>
                      <w:rFonts w:eastAsia="宋体"/>
                      <w:color w:val="000000"/>
                      <w:sz w:val="21"/>
                      <w:szCs w:val="21"/>
                    </w:rPr>
                  </w:pPr>
                  <w:r>
                    <w:rPr>
                      <w:rFonts w:eastAsia="宋体"/>
                      <w:color w:val="000000"/>
                      <w:sz w:val="21"/>
                      <w:szCs w:val="21"/>
                    </w:rPr>
                    <w:t>不敏感</w:t>
                  </w:r>
                </w:p>
              </w:tc>
              <w:tc>
                <w:tcPr>
                  <w:tcW w:w="897" w:type="dxa"/>
                  <w:tcBorders>
                    <w:tl2br w:val="nil"/>
                    <w:tr2bl w:val="nil"/>
                  </w:tcBorders>
                  <w:vAlign w:val="center"/>
                </w:tcPr>
                <w:p>
                  <w:pPr>
                    <w:jc w:val="center"/>
                    <w:rPr>
                      <w:rFonts w:eastAsia="宋体"/>
                      <w:color w:val="000000"/>
                      <w:sz w:val="21"/>
                      <w:szCs w:val="21"/>
                    </w:rPr>
                  </w:pPr>
                  <w:r>
                    <w:rPr>
                      <w:rFonts w:eastAsia="宋体"/>
                      <w:color w:val="000000"/>
                      <w:sz w:val="21"/>
                      <w:szCs w:val="21"/>
                    </w:rPr>
                    <w:t>一 级</w:t>
                  </w:r>
                </w:p>
              </w:tc>
              <w:tc>
                <w:tcPr>
                  <w:tcW w:w="748"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849"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二级</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692"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693" w:type="dxa"/>
                  <w:tcBorders>
                    <w:tl2br w:val="nil"/>
                    <w:tr2bl w:val="nil"/>
                  </w:tcBorders>
                  <w:vAlign w:val="center"/>
                </w:tcPr>
                <w:p>
                  <w:pPr>
                    <w:jc w:val="center"/>
                    <w:rPr>
                      <w:rFonts w:eastAsia="宋体"/>
                      <w:color w:val="000000"/>
                      <w:sz w:val="21"/>
                      <w:szCs w:val="21"/>
                    </w:rPr>
                  </w:pPr>
                  <w:r>
                    <w:rPr>
                      <w:rFonts w:eastAsia="宋体"/>
                      <w:color w:val="000000"/>
                      <w:sz w:val="21"/>
                      <w:szCs w:val="21"/>
                    </w:rPr>
                    <w:t>三级</w:t>
                  </w:r>
                </w:p>
              </w:tc>
              <w:tc>
                <w:tcPr>
                  <w:tcW w:w="691" w:type="dxa"/>
                  <w:tcBorders>
                    <w:tl2br w:val="nil"/>
                    <w:tr2bl w:val="nil"/>
                  </w:tcBorders>
                  <w:vAlign w:val="center"/>
                </w:tcPr>
                <w:p>
                  <w:pPr>
                    <w:jc w:val="center"/>
                    <w:rPr>
                      <w:rFonts w:eastAsia="宋体"/>
                      <w:color w:val="000000"/>
                      <w:sz w:val="21"/>
                      <w:szCs w:val="21"/>
                    </w:rPr>
                  </w:pPr>
                  <w:r>
                    <w:rPr>
                      <w:rFonts w:eastAsia="宋体"/>
                      <w:color w:val="000000"/>
                      <w:sz w:val="21"/>
                      <w:szCs w:val="21"/>
                    </w:rPr>
                    <w:t>--</w:t>
                  </w:r>
                </w:p>
              </w:tc>
              <w:tc>
                <w:tcPr>
                  <w:tcW w:w="708" w:type="dxa"/>
                  <w:tcBorders>
                    <w:tl2br w:val="nil"/>
                    <w:tr2bl w:val="nil"/>
                  </w:tcBorders>
                  <w:vAlign w:val="center"/>
                </w:tcPr>
                <w:p>
                  <w:pPr>
                    <w:jc w:val="center"/>
                    <w:rPr>
                      <w:rFonts w:eastAsia="宋体"/>
                      <w:color w:val="000000"/>
                      <w:sz w:val="21"/>
                      <w:szCs w:val="21"/>
                    </w:rPr>
                  </w:pPr>
                  <w:r>
                    <w:rPr>
                      <w:rFonts w:eastAsia="宋体"/>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06" w:type="dxa"/>
                  <w:gridSpan w:val="10"/>
                  <w:tcBorders>
                    <w:tl2br w:val="nil"/>
                    <w:tr2bl w:val="nil"/>
                  </w:tcBorders>
                  <w:vAlign w:val="center"/>
                </w:tcPr>
                <w:p>
                  <w:pPr>
                    <w:jc w:val="center"/>
                    <w:rPr>
                      <w:rFonts w:eastAsia="宋体"/>
                      <w:color w:val="000000"/>
                      <w:sz w:val="21"/>
                      <w:szCs w:val="21"/>
                    </w:rPr>
                  </w:pPr>
                  <w:r>
                    <w:rPr>
                      <w:rFonts w:eastAsia="宋体"/>
                      <w:color w:val="000000"/>
                      <w:sz w:val="21"/>
                      <w:szCs w:val="21"/>
                    </w:rPr>
                    <w:t>注： “ - - ” 表示可不开展土壤环境影响评价工作。</w:t>
                  </w:r>
                </w:p>
              </w:tc>
            </w:tr>
          </w:tbl>
          <w:p>
            <w:pPr>
              <w:widowControl w:val="0"/>
              <w:snapToGrid w:val="0"/>
              <w:ind w:firstLine="482" w:firstLineChars="201"/>
              <w:jc w:val="both"/>
              <w:rPr>
                <w:rFonts w:eastAsia="宋体"/>
                <w:kern w:val="24"/>
                <w:sz w:val="24"/>
                <w:szCs w:val="24"/>
              </w:rPr>
            </w:pPr>
            <w:r>
              <w:rPr>
                <w:rFonts w:hint="eastAsia" w:eastAsia="宋体"/>
                <w:kern w:val="24"/>
                <w:sz w:val="24"/>
                <w:szCs w:val="24"/>
              </w:rPr>
              <w:t>根据上表划分结果，本项目评价工作等级为“--” ，可不开展土壤影响评价工作。</w:t>
            </w:r>
          </w:p>
          <w:p>
            <w:pPr>
              <w:widowControl w:val="0"/>
              <w:snapToGrid w:val="0"/>
              <w:ind w:firstLine="482" w:firstLineChars="201"/>
              <w:jc w:val="both"/>
              <w:rPr>
                <w:rFonts w:eastAsia="宋体"/>
                <w:kern w:val="24"/>
                <w:sz w:val="24"/>
                <w:szCs w:val="24"/>
              </w:rPr>
            </w:pPr>
            <w:r>
              <w:rPr>
                <w:rFonts w:hint="eastAsia" w:eastAsia="宋体"/>
                <w:kern w:val="24"/>
                <w:sz w:val="24"/>
                <w:szCs w:val="24"/>
              </w:rPr>
              <w:t xml:space="preserve">根据《工矿用地土壤环境管理办法（试行）》（部令第3号），土壤环境污染重点监管单位（以下简称重点单位）包括：（一）有色金属冶炼、石油加工、化工、焦化、 电镀、制革等行业中应当纳入排污许可重点管理的企业；（二）有色金属矿采选、石油 开采行业规模以上企业；（三）其他根据有关规定纳入土壤环境污染重点监管单位名录的企事业单位。本项目为电源线生产项目，不属于《工况用地土壤环境管理办法（试行）》）（部令 第 3 号）中重点监管企业。 </w:t>
            </w:r>
          </w:p>
          <w:p>
            <w:pPr>
              <w:widowControl w:val="0"/>
              <w:snapToGrid w:val="0"/>
              <w:ind w:firstLine="482" w:firstLineChars="201"/>
              <w:jc w:val="both"/>
              <w:rPr>
                <w:rFonts w:eastAsia="宋体"/>
                <w:kern w:val="24"/>
                <w:sz w:val="24"/>
                <w:szCs w:val="24"/>
              </w:rPr>
            </w:pPr>
            <w:r>
              <w:rPr>
                <w:rFonts w:hint="eastAsia" w:eastAsia="宋体"/>
                <w:kern w:val="24"/>
                <w:sz w:val="24"/>
                <w:szCs w:val="24"/>
              </w:rPr>
              <w:t>综上所述，本项目暂不需要另行开展土壤现状调查和编制调查报告。</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7.2.7</w:t>
            </w:r>
            <w:r>
              <w:rPr>
                <w:rFonts w:ascii="Times New Roman" w:hAnsi="Times New Roman" w:cs="Times New Roman"/>
                <w:b/>
                <w:sz w:val="24"/>
                <w:szCs w:val="24"/>
              </w:rPr>
              <w:t>环境风险分析</w:t>
            </w:r>
          </w:p>
          <w:p>
            <w:pPr>
              <w:ind w:firstLine="480" w:firstLineChars="200"/>
              <w:rPr>
                <w:rFonts w:eastAsia="宋体"/>
                <w:kern w:val="24"/>
                <w:sz w:val="24"/>
                <w:szCs w:val="24"/>
              </w:rPr>
            </w:pPr>
            <w:r>
              <w:rPr>
                <w:rFonts w:hint="eastAsia" w:eastAsia="宋体"/>
                <w:kern w:val="24"/>
                <w:sz w:val="24"/>
                <w:szCs w:val="24"/>
              </w:rPr>
              <w:t>“环境风险”是指在一定时间内因人类行为，与人类密切相关的自然行为，或人与自然互相作用过程中引起的，具有不确定特征（突发性）和可能对人类健康、生命、财产及周围环境造成危害的环境事件发生的概率。</w:t>
            </w:r>
          </w:p>
          <w:p>
            <w:pPr>
              <w:ind w:firstLine="480" w:firstLineChars="200"/>
              <w:rPr>
                <w:rFonts w:eastAsia="宋体"/>
                <w:kern w:val="24"/>
                <w:sz w:val="24"/>
                <w:szCs w:val="24"/>
              </w:rPr>
            </w:pPr>
            <w:r>
              <w:rPr>
                <w:rFonts w:hint="eastAsia" w:eastAsia="宋体"/>
                <w:kern w:val="24"/>
                <w:sz w:val="24"/>
                <w:szCs w:val="24"/>
              </w:rPr>
              <w:t>环境风险评价是在分析项目事故发生概率和预测事故状态下的影响程度基础上，对项目建设和运行过程中可能存在的事故隐患（事故源）提出事故防范措施和事故后应急措施，使建设项目的环境风险影响尽可能降到最低，项目风险度达到可接受水平。</w:t>
            </w:r>
          </w:p>
          <w:p>
            <w:pPr>
              <w:ind w:firstLine="480" w:firstLineChars="200"/>
              <w:rPr>
                <w:rFonts w:eastAsia="宋体"/>
                <w:kern w:val="24"/>
                <w:sz w:val="24"/>
                <w:szCs w:val="24"/>
              </w:rPr>
            </w:pPr>
            <w:r>
              <w:rPr>
                <w:rFonts w:hint="eastAsia" w:eastAsia="宋体"/>
                <w:kern w:val="24"/>
                <w:sz w:val="24"/>
                <w:szCs w:val="24"/>
              </w:rPr>
              <w:t>根据《建设项目环境风险评价技术导则》（HJ/T169-2018）附录B 中表B.1 突发环境事件风险物质及临界量，油类物质（汽油、柴油）属于风险物质。因此，对该项目进行风险评价。</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（一）评价等级</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根据《建设项目环境风险评价技术导则》（HJ/T169-2018）的规定，计算危险物质数量与临界量比值（Q）。</w:t>
            </w:r>
            <w:r>
              <w:rPr>
                <w:rFonts w:ascii="Times New Roman" w:hAnsi="Times New Roman" w:cs="Times New Roman"/>
                <w:sz w:val="24"/>
                <w:szCs w:val="24"/>
              </w:rPr>
              <w:t>根据</w:t>
            </w:r>
            <w:r>
              <w:rPr>
                <w:rFonts w:hint="eastAsia" w:ascii="Times New Roman" w:hAnsi="Times New Roman" w:cs="Times New Roman"/>
                <w:sz w:val="24"/>
                <w:szCs w:val="24"/>
              </w:rPr>
              <w:t>导则中附录B</w:t>
            </w:r>
            <w:r>
              <w:rPr>
                <w:rFonts w:ascii="Times New Roman" w:hAnsi="Times New Roman" w:cs="Times New Roman"/>
                <w:sz w:val="24"/>
                <w:szCs w:val="24"/>
              </w:rPr>
              <w:t>，</w:t>
            </w:r>
            <w:r>
              <w:rPr>
                <w:rFonts w:hint="eastAsia" w:ascii="Times New Roman" w:hAnsi="Times New Roman" w:cs="Times New Roman"/>
                <w:sz w:val="24"/>
                <w:szCs w:val="24"/>
              </w:rPr>
              <w:t>油类物质</w:t>
            </w:r>
            <w:r>
              <w:rPr>
                <w:rFonts w:ascii="Times New Roman" w:hAnsi="Times New Roman" w:cs="Times New Roman"/>
                <w:sz w:val="24"/>
                <w:szCs w:val="24"/>
              </w:rPr>
              <w:t>临界量为2</w:t>
            </w:r>
            <w:r>
              <w:rPr>
                <w:rFonts w:hint="eastAsia" w:ascii="Times New Roman" w:hAnsi="Times New Roman" w:cs="Times New Roman"/>
                <w:sz w:val="24"/>
                <w:szCs w:val="24"/>
              </w:rPr>
              <w:t>5</w:t>
            </w:r>
            <w:r>
              <w:rPr>
                <w:rFonts w:ascii="Times New Roman" w:hAnsi="Times New Roman" w:cs="Times New Roman"/>
                <w:sz w:val="24"/>
                <w:szCs w:val="24"/>
              </w:rPr>
              <w:t>00t</w:t>
            </w:r>
            <w:r>
              <w:rPr>
                <w:rFonts w:hint="eastAsia"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汽油总储量为</w:t>
            </w:r>
            <w:r>
              <w:rPr>
                <w:rFonts w:hint="eastAsia" w:ascii="Times New Roman" w:hAnsi="Times New Roman" w:cs="Times New Roman"/>
                <w:sz w:val="24"/>
                <w:szCs w:val="24"/>
              </w:rPr>
              <w:t>120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，密度取0.75，装填系数取0.</w:t>
            </w:r>
            <w:r>
              <w:rPr>
                <w:rFonts w:hint="eastAsia" w:ascii="Times New Roman" w:hAnsi="Times New Roman" w:cs="Times New Roman"/>
                <w:sz w:val="24"/>
                <w:szCs w:val="24"/>
              </w:rPr>
              <w:t>85</w:t>
            </w:r>
            <w:r>
              <w:rPr>
                <w:rFonts w:ascii="Times New Roman" w:hAnsi="Times New Roman" w:cs="Times New Roman"/>
                <w:sz w:val="24"/>
                <w:szCs w:val="24"/>
              </w:rPr>
              <w:t>，则储量为</w:t>
            </w:r>
            <w:r>
              <w:rPr>
                <w:rFonts w:hint="eastAsia" w:ascii="Times New Roman" w:hAnsi="Times New Roman" w:cs="Times New Roman"/>
                <w:sz w:val="24"/>
                <w:szCs w:val="24"/>
              </w:rPr>
              <w:t>120</w:t>
            </w:r>
            <w:r>
              <w:rPr>
                <w:rFonts w:ascii="Times New Roman" w:hAnsi="Times New Roman" w:cs="Times New Roman"/>
                <w:sz w:val="24"/>
                <w:szCs w:val="24"/>
              </w:rPr>
              <w:t>*0.75*0.</w:t>
            </w:r>
            <w:r>
              <w:rPr>
                <w:rFonts w:hint="eastAsia" w:ascii="Times New Roman" w:hAnsi="Times New Roman" w:cs="Times New Roman"/>
                <w:sz w:val="24"/>
                <w:szCs w:val="24"/>
              </w:rPr>
              <w:t>85</w:t>
            </w:r>
            <w:r>
              <w:rPr>
                <w:rFonts w:ascii="Times New Roman" w:hAnsi="Times New Roman" w:cs="Times New Roman"/>
                <w:sz w:val="24"/>
                <w:szCs w:val="24"/>
              </w:rPr>
              <w:t>=</w:t>
            </w:r>
            <w:r>
              <w:rPr>
                <w:rFonts w:hint="eastAsia" w:ascii="Times New Roman" w:hAnsi="Times New Roman" w:cs="Times New Roman"/>
                <w:sz w:val="24"/>
                <w:szCs w:val="24"/>
              </w:rPr>
              <w:t>76.5</w:t>
            </w:r>
            <w:r>
              <w:rPr>
                <w:rFonts w:ascii="Times New Roman" w:hAnsi="Times New Roman" w:cs="Times New Roman"/>
                <w:sz w:val="24"/>
                <w:szCs w:val="24"/>
              </w:rPr>
              <w:t>t；柴油总储量为</w:t>
            </w:r>
            <w:r>
              <w:rPr>
                <w:rFonts w:hint="eastAsia" w:ascii="Times New Roman" w:hAnsi="Times New Roman" w:cs="Times New Roman"/>
                <w:sz w:val="24"/>
                <w:szCs w:val="24"/>
              </w:rPr>
              <w:t>30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，密度取0.8</w:t>
            </w:r>
            <w:r>
              <w:rPr>
                <w:rFonts w:hint="eastAsia" w:ascii="Times New Roman" w:hAnsi="Times New Roman" w:cs="Times New Roman"/>
                <w:sz w:val="24"/>
                <w:szCs w:val="24"/>
              </w:rPr>
              <w:t>8</w:t>
            </w:r>
            <w:r>
              <w:rPr>
                <w:rFonts w:ascii="Times New Roman" w:hAnsi="Times New Roman" w:cs="Times New Roman"/>
                <w:sz w:val="24"/>
                <w:szCs w:val="24"/>
              </w:rPr>
              <w:t>，装填系数取0.9，则储量为</w:t>
            </w:r>
            <w:r>
              <w:rPr>
                <w:rFonts w:hint="eastAsia" w:ascii="Times New Roman" w:hAnsi="Times New Roman" w:cs="Times New Roman"/>
                <w:sz w:val="24"/>
                <w:szCs w:val="24"/>
              </w:rPr>
              <w:t>30</w:t>
            </w:r>
            <w:r>
              <w:rPr>
                <w:rFonts w:ascii="Times New Roman" w:hAnsi="Times New Roman" w:cs="Times New Roman"/>
                <w:sz w:val="24"/>
                <w:szCs w:val="24"/>
              </w:rPr>
              <w:t>*0.8</w:t>
            </w:r>
            <w:r>
              <w:rPr>
                <w:rFonts w:hint="eastAsia" w:ascii="Times New Roman" w:hAnsi="Times New Roman" w:cs="Times New Roman"/>
                <w:sz w:val="24"/>
                <w:szCs w:val="24"/>
              </w:rPr>
              <w:t>8</w:t>
            </w:r>
            <w:r>
              <w:rPr>
                <w:rFonts w:ascii="Times New Roman" w:hAnsi="Times New Roman" w:cs="Times New Roman"/>
                <w:sz w:val="24"/>
                <w:szCs w:val="24"/>
              </w:rPr>
              <w:t>*0.9=</w:t>
            </w:r>
            <w:r>
              <w:rPr>
                <w:rFonts w:hint="eastAsia" w:ascii="Times New Roman" w:hAnsi="Times New Roman" w:cs="Times New Roman"/>
                <w:sz w:val="24"/>
                <w:szCs w:val="24"/>
              </w:rPr>
              <w:t>23.76</w:t>
            </w:r>
            <w:r>
              <w:rPr>
                <w:rFonts w:ascii="Times New Roman" w:hAnsi="Times New Roman" w:cs="Times New Roman"/>
                <w:sz w:val="24"/>
                <w:szCs w:val="24"/>
              </w:rPr>
              <w:t>t</w:t>
            </w:r>
            <w:r>
              <w:rPr>
                <w:rFonts w:hint="eastAsia" w:ascii="Times New Roman" w:hAnsi="Times New Roman" w:cs="Times New Roman"/>
                <w:sz w:val="24"/>
                <w:szCs w:val="24"/>
              </w:rPr>
              <w:t>。则</w:t>
            </w:r>
            <w:r>
              <w:rPr>
                <w:rFonts w:ascii="Times New Roman" w:hAnsi="Times New Roman" w:cs="Times New Roman"/>
                <w:sz w:val="24"/>
                <w:szCs w:val="24"/>
              </w:rPr>
              <w:t>本项目汽油和柴油总储存量约为</w:t>
            </w:r>
            <w:r>
              <w:rPr>
                <w:rFonts w:hint="eastAsia" w:ascii="Times New Roman" w:hAnsi="Times New Roman" w:cs="Times New Roman"/>
                <w:sz w:val="24"/>
                <w:szCs w:val="24"/>
              </w:rPr>
              <w:t>100.26</w:t>
            </w:r>
            <w:r>
              <w:rPr>
                <w:rFonts w:ascii="Times New Roman" w:hAnsi="Times New Roman" w:cs="Times New Roman"/>
                <w:sz w:val="24"/>
                <w:szCs w:val="24"/>
              </w:rPr>
              <w:t>t。</w:t>
            </w:r>
          </w:p>
          <w:p>
            <w:pPr>
              <w:pStyle w:val="13"/>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23危险物质数量与临界量比值（Q）</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17"/>
              <w:gridCol w:w="2434"/>
              <w:gridCol w:w="2435"/>
              <w:gridCol w:w="243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名称</w:t>
                  </w:r>
                </w:p>
              </w:tc>
              <w:tc>
                <w:tcPr>
                  <w:tcW w:w="24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临界量Qn（t）</w:t>
                  </w:r>
                </w:p>
              </w:tc>
              <w:tc>
                <w:tcPr>
                  <w:tcW w:w="243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最大</w:t>
                  </w:r>
                  <w:r>
                    <w:rPr>
                      <w:rFonts w:eastAsia="宋体"/>
                      <w:sz w:val="21"/>
                      <w:szCs w:val="21"/>
                    </w:rPr>
                    <w:t>贮存量qn（t）</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qn/Qn</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1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汽油</w:t>
                  </w:r>
                  <w:r>
                    <w:rPr>
                      <w:rFonts w:hint="eastAsia" w:eastAsia="宋体"/>
                      <w:sz w:val="21"/>
                      <w:szCs w:val="21"/>
                    </w:rPr>
                    <w:t>、柴油</w:t>
                  </w:r>
                </w:p>
              </w:tc>
              <w:tc>
                <w:tcPr>
                  <w:tcW w:w="2434"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w:t>
                  </w:r>
                  <w:r>
                    <w:rPr>
                      <w:rFonts w:hint="eastAsia" w:eastAsia="宋体"/>
                      <w:sz w:val="21"/>
                      <w:szCs w:val="21"/>
                    </w:rPr>
                    <w:t>5</w:t>
                  </w:r>
                  <w:r>
                    <w:rPr>
                      <w:rFonts w:eastAsia="宋体"/>
                      <w:sz w:val="21"/>
                      <w:szCs w:val="21"/>
                    </w:rPr>
                    <w:t>00</w:t>
                  </w:r>
                </w:p>
              </w:tc>
              <w:tc>
                <w:tcPr>
                  <w:tcW w:w="2435"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100.26</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0.0401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086"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合计</w:t>
                  </w:r>
                </w:p>
              </w:tc>
              <w:tc>
                <w:tcPr>
                  <w:tcW w:w="2436" w:type="dxa"/>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0.0401</w:t>
                  </w:r>
                </w:p>
              </w:tc>
            </w:tr>
          </w:tbl>
          <w:p>
            <w:pPr>
              <w:ind w:firstLine="480" w:firstLineChars="200"/>
              <w:rPr>
                <w:rFonts w:eastAsia="宋体"/>
                <w:kern w:val="24"/>
                <w:sz w:val="24"/>
                <w:szCs w:val="24"/>
              </w:rPr>
            </w:pPr>
            <w:r>
              <w:rPr>
                <w:rFonts w:eastAsia="宋体"/>
                <w:kern w:val="24"/>
                <w:sz w:val="24"/>
                <w:szCs w:val="24"/>
              </w:rPr>
              <w:t>由上表可见，</w:t>
            </w:r>
            <w:r>
              <w:rPr>
                <w:rFonts w:hint="eastAsia" w:eastAsia="宋体"/>
                <w:kern w:val="24"/>
                <w:sz w:val="24"/>
                <w:szCs w:val="24"/>
              </w:rPr>
              <w:t>本</w:t>
            </w:r>
            <w:r>
              <w:rPr>
                <w:rFonts w:eastAsia="宋体"/>
                <w:kern w:val="24"/>
                <w:sz w:val="24"/>
                <w:szCs w:val="24"/>
              </w:rPr>
              <w:t>项目</w:t>
            </w:r>
            <w:r>
              <w:rPr>
                <w:rFonts w:hint="eastAsia" w:eastAsia="宋体"/>
                <w:kern w:val="24"/>
                <w:sz w:val="24"/>
                <w:szCs w:val="24"/>
              </w:rPr>
              <w:t>风险物质</w:t>
            </w:r>
            <w:r>
              <w:rPr>
                <w:rFonts w:eastAsia="宋体"/>
                <w:kern w:val="24"/>
                <w:sz w:val="24"/>
                <w:szCs w:val="24"/>
              </w:rPr>
              <w:t>∑qn/Qn小于1，</w:t>
            </w:r>
            <w:r>
              <w:rPr>
                <w:rFonts w:hint="eastAsia" w:eastAsia="宋体"/>
                <w:kern w:val="24"/>
                <w:sz w:val="24"/>
                <w:szCs w:val="24"/>
              </w:rPr>
              <w:t>风险潜势为Ⅰ</w:t>
            </w:r>
            <w:r>
              <w:rPr>
                <w:rFonts w:eastAsia="宋体"/>
                <w:kern w:val="24"/>
                <w:sz w:val="24"/>
                <w:szCs w:val="24"/>
              </w:rPr>
              <w:t>。</w:t>
            </w:r>
            <w:r>
              <w:rPr>
                <w:rFonts w:hint="eastAsia" w:eastAsia="宋体"/>
                <w:kern w:val="24"/>
                <w:sz w:val="24"/>
                <w:szCs w:val="24"/>
              </w:rPr>
              <w:t>根据《建设项目环境风险评价技术导则》（HJ-T169-2018）中表1 评价工作等级划分，本项目环境风险评价等级为简单分析，参照导则附录A 内容进行简单风险分析。</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（二）环境风险识别</w:t>
            </w:r>
          </w:p>
          <w:p>
            <w:pPr>
              <w:ind w:firstLine="480" w:firstLineChars="200"/>
              <w:rPr>
                <w:rFonts w:eastAsia="宋体"/>
                <w:kern w:val="24"/>
                <w:sz w:val="24"/>
                <w:szCs w:val="24"/>
              </w:rPr>
            </w:pPr>
            <w:r>
              <w:rPr>
                <w:rFonts w:hint="eastAsia" w:eastAsia="宋体"/>
                <w:kern w:val="24"/>
                <w:sz w:val="24"/>
                <w:szCs w:val="24"/>
              </w:rPr>
              <w:t>1、原辅料理化特性</w:t>
            </w:r>
          </w:p>
          <w:p>
            <w:pPr>
              <w:ind w:firstLine="480" w:firstLineChars="200"/>
              <w:rPr>
                <w:sz w:val="24"/>
                <w:szCs w:val="24"/>
              </w:rPr>
            </w:pPr>
            <w:r>
              <w:rPr>
                <w:rFonts w:hint="eastAsia" w:eastAsia="宋体"/>
                <w:kern w:val="24"/>
                <w:sz w:val="24"/>
                <w:szCs w:val="24"/>
              </w:rPr>
              <w:t>该加油站主要经营汽油及柴油的销售，汽油和柴油</w:t>
            </w:r>
            <w:r>
              <w:rPr>
                <w:rFonts w:eastAsia="宋体"/>
                <w:kern w:val="24"/>
                <w:sz w:val="24"/>
                <w:szCs w:val="24"/>
              </w:rPr>
              <w:t>危险特性和理化性质见表7-</w:t>
            </w:r>
            <w:r>
              <w:rPr>
                <w:rFonts w:hint="eastAsia" w:eastAsia="宋体"/>
                <w:kern w:val="24"/>
                <w:sz w:val="24"/>
                <w:szCs w:val="24"/>
              </w:rPr>
              <w:t>19</w:t>
            </w:r>
            <w:r>
              <w:rPr>
                <w:rFonts w:eastAsia="宋体"/>
                <w:kern w:val="24"/>
                <w:sz w:val="24"/>
                <w:szCs w:val="24"/>
              </w:rPr>
              <w:t>、表7-</w:t>
            </w:r>
            <w:r>
              <w:rPr>
                <w:rFonts w:hint="eastAsia" w:eastAsia="宋体"/>
                <w:kern w:val="24"/>
                <w:sz w:val="24"/>
                <w:szCs w:val="24"/>
              </w:rPr>
              <w:t>24</w:t>
            </w:r>
            <w:r>
              <w:rPr>
                <w:rFonts w:eastAsia="宋体"/>
                <w:kern w:val="24"/>
                <w:sz w:val="24"/>
                <w:szCs w:val="24"/>
              </w:rPr>
              <w:t>。</w:t>
            </w:r>
          </w:p>
          <w:p>
            <w:pPr>
              <w:pStyle w:val="13"/>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24</w:t>
            </w:r>
            <w:r>
              <w:rPr>
                <w:rFonts w:ascii="Times New Roman" w:hAnsi="Times New Roman" w:cs="Times New Roman"/>
                <w:b/>
                <w:sz w:val="24"/>
                <w:szCs w:val="24"/>
              </w:rPr>
              <w:t xml:space="preserve">  汽油的理化性质和危险特性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27"/>
              <w:gridCol w:w="880"/>
              <w:gridCol w:w="1621"/>
              <w:gridCol w:w="435"/>
              <w:gridCol w:w="22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第一部分    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危险性类别：</w:t>
                  </w:r>
                </w:p>
              </w:tc>
              <w:tc>
                <w:tcPr>
                  <w:tcW w:w="310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第3.1类低闪点易燃液体。</w:t>
                  </w:r>
                </w:p>
              </w:tc>
              <w:tc>
                <w:tcPr>
                  <w:tcW w:w="2056"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燃爆危险：</w:t>
                  </w:r>
                </w:p>
              </w:tc>
              <w:tc>
                <w:tcPr>
                  <w:tcW w:w="22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侵入途径：</w:t>
                  </w:r>
                </w:p>
              </w:tc>
              <w:tc>
                <w:tcPr>
                  <w:tcW w:w="3107"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吸入、食入、经皮吸收。</w:t>
                  </w:r>
                </w:p>
              </w:tc>
              <w:tc>
                <w:tcPr>
                  <w:tcW w:w="2056"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有害燃烧产物：</w:t>
                  </w:r>
                </w:p>
              </w:tc>
              <w:tc>
                <w:tcPr>
                  <w:tcW w:w="2206"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健康危害：</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环境危害：</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第二部分   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外观及性状：</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无色或淡黄色易挥发液体，具有特殊臭味。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熔点（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&lt;-60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相对密度（水＝1）</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0.70～0.79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闪点（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-50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相对密度（空气=1）</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引燃温度（</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415～530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爆炸上限％（V/V）：</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沸点（</w:t>
                  </w:r>
                  <w:r>
                    <w:rPr>
                      <w:rFonts w:hint="eastAsia" w:eastAsia="宋体"/>
                      <w:sz w:val="21"/>
                      <w:szCs w:val="21"/>
                    </w:rPr>
                    <w:t>℃</w:t>
                  </w:r>
                  <w:r>
                    <w:rPr>
                      <w:rFonts w:eastAsia="宋体"/>
                      <w:sz w:val="21"/>
                      <w:szCs w:val="21"/>
                    </w:rPr>
                    <w:t>）：</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40～200</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爆炸下限％（V/V）：</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溶解性：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主要用途：</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主要用作汽油机的燃料，用于橡胶、制鞋、印刷、制革、等行业，也可用作机械零件的去污剂。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第三部分   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稳定性：</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避免接触的条件：</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禁配物：</w:t>
                  </w:r>
                </w:p>
              </w:tc>
              <w:tc>
                <w:tcPr>
                  <w:tcW w:w="222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强氧化剂</w:t>
                  </w:r>
                </w:p>
              </w:tc>
              <w:tc>
                <w:tcPr>
                  <w:tcW w:w="250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聚合危害：</w:t>
                  </w:r>
                </w:p>
              </w:tc>
              <w:tc>
                <w:tcPr>
                  <w:tcW w:w="2641"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分解产物：</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0" w:type="dxa"/>
                  <w:gridSpan w:val="6"/>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第四部分  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急性毒性：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LD50 67000mg/kg（小鼠经口），（120号溶剂汽油）</w:t>
                  </w:r>
                </w:p>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LC50  103000mg/m</w:t>
                  </w:r>
                  <w:r>
                    <w:rPr>
                      <w:rFonts w:eastAsia="宋体"/>
                      <w:sz w:val="21"/>
                      <w:szCs w:val="21"/>
                      <w:vertAlign w:val="superscript"/>
                    </w:rPr>
                    <w:t>3</w:t>
                  </w:r>
                  <w:r>
                    <w:rPr>
                      <w:rFonts w:eastAsia="宋体"/>
                      <w:sz w:val="21"/>
                      <w:szCs w:val="21"/>
                    </w:rPr>
                    <w:t>小鼠，2小时（120号溶剂汽油）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急性中毒：</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慢性中毒：</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神经衰弱综合症，周围神经病，皮肤损害。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刺激性：</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人经眼：140ppm（8小时），轻度刺激。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01"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最高容许浓度</w:t>
                  </w:r>
                </w:p>
              </w:tc>
              <w:tc>
                <w:tcPr>
                  <w:tcW w:w="7369" w:type="dxa"/>
                  <w:gridSpan w:val="5"/>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300mg/m3</w:t>
                  </w:r>
                </w:p>
              </w:tc>
            </w:tr>
          </w:tbl>
          <w:p>
            <w:pPr>
              <w:pStyle w:val="13"/>
              <w:spacing w:line="500" w:lineRule="exact"/>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25</w:t>
            </w:r>
            <w:r>
              <w:rPr>
                <w:rFonts w:ascii="Times New Roman" w:hAnsi="Times New Roman" w:cs="Times New Roman"/>
                <w:b/>
                <w:sz w:val="24"/>
                <w:szCs w:val="24"/>
              </w:rPr>
              <w:t xml:space="preserve">  柴油的理化性质和危险特性</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904"/>
              <w:gridCol w:w="440"/>
              <w:gridCol w:w="440"/>
              <w:gridCol w:w="1480"/>
              <w:gridCol w:w="142"/>
              <w:gridCol w:w="288"/>
              <w:gridCol w:w="23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第一部分  危险性概述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危险性类别：</w:t>
                  </w:r>
                </w:p>
              </w:tc>
              <w:tc>
                <w:tcPr>
                  <w:tcW w:w="284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第3.3类高闪点 易燃液体</w:t>
                  </w:r>
                </w:p>
              </w:tc>
              <w:tc>
                <w:tcPr>
                  <w:tcW w:w="1953"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燃爆危险：</w:t>
                  </w:r>
                </w:p>
              </w:tc>
              <w:tc>
                <w:tcPr>
                  <w:tcW w:w="240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易燃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侵入途径：</w:t>
                  </w:r>
                </w:p>
              </w:tc>
              <w:tc>
                <w:tcPr>
                  <w:tcW w:w="284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吸入、食入、经皮吸收</w:t>
                  </w:r>
                </w:p>
              </w:tc>
              <w:tc>
                <w:tcPr>
                  <w:tcW w:w="1953"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有害燃烧产物：</w:t>
                  </w:r>
                </w:p>
              </w:tc>
              <w:tc>
                <w:tcPr>
                  <w:tcW w:w="2405"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环境危害：</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该物质对环境有危害，应特别注意对地表水、土壤、大气和饮用水的污染。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第二部分   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外观及性状：</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稍有粘性的棕色液体。</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主要用途：</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用作柴油机的燃料等。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闪点（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45～55</w:t>
                  </w:r>
                  <w:r>
                    <w:rPr>
                      <w:rFonts w:hint="eastAsia" w:eastAsia="宋体"/>
                      <w:sz w:val="21"/>
                      <w:szCs w:val="21"/>
                    </w:rPr>
                    <w:t>℃</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相对密度（水＝1）：</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0.87～0.9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沸点（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200～350</w:t>
                  </w:r>
                  <w:r>
                    <w:rPr>
                      <w:rFonts w:hint="eastAsia" w:eastAsia="宋体"/>
                      <w:sz w:val="21"/>
                      <w:szCs w:val="21"/>
                    </w:rPr>
                    <w:t>℃</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爆炸上限％（V/V）：</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自然点（</w:t>
                  </w:r>
                  <w:r>
                    <w:rPr>
                      <w:rFonts w:hint="eastAsia" w:eastAsia="宋体"/>
                      <w:sz w:val="21"/>
                      <w:szCs w:val="21"/>
                    </w:rPr>
                    <w:t>℃</w:t>
                  </w:r>
                  <w:r>
                    <w:rPr>
                      <w:rFonts w:eastAsia="宋体"/>
                      <w:sz w:val="21"/>
                      <w:szCs w:val="21"/>
                    </w:rPr>
                    <w:t>）：</w:t>
                  </w:r>
                </w:p>
              </w:tc>
              <w:tc>
                <w:tcPr>
                  <w:tcW w:w="2398"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257</w:t>
                  </w:r>
                </w:p>
              </w:tc>
              <w:tc>
                <w:tcPr>
                  <w:tcW w:w="2109"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爆炸下限％（V/V）：</w:t>
                  </w:r>
                </w:p>
              </w:tc>
              <w:tc>
                <w:tcPr>
                  <w:tcW w:w="2700" w:type="dxa"/>
                  <w:gridSpan w:val="2"/>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溶解性：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不溶于水，易溶于苯、二硫化碳、醇，易溶于脂肪。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第三部分   稳定性及化学活性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稳定性：</w:t>
                  </w:r>
                </w:p>
              </w:tc>
              <w:tc>
                <w:tcPr>
                  <w:tcW w:w="19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稳定</w:t>
                  </w:r>
                </w:p>
              </w:tc>
              <w:tc>
                <w:tcPr>
                  <w:tcW w:w="241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避免接触的条件：</w:t>
                  </w:r>
                </w:p>
              </w:tc>
              <w:tc>
                <w:tcPr>
                  <w:tcW w:w="284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明火、高热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禁配物：</w:t>
                  </w:r>
                </w:p>
              </w:tc>
              <w:tc>
                <w:tcPr>
                  <w:tcW w:w="1947"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强氧化剂、卤素</w:t>
                  </w:r>
                </w:p>
              </w:tc>
              <w:tc>
                <w:tcPr>
                  <w:tcW w:w="241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聚合危害：</w:t>
                  </w:r>
                </w:p>
              </w:tc>
              <w:tc>
                <w:tcPr>
                  <w:tcW w:w="2845" w:type="dxa"/>
                  <w:gridSpan w:val="3"/>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不聚合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分解产物：</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一氧化碳、二氧化碳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80" w:type="dxa"/>
                  <w:gridSpan w:val="8"/>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第四部分   毒理学资料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急性毒性：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LD50 7500mg/kg（大鼠经口）   LD＞5ml/mg（兔经皮）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急性中毒：</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皮肤接触柴油可引起接触性皮炎、油性痤疮，吸入可引起吸入性肺炎，能经胎盘进入胎儿血中。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慢性中毒：</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柴油废气可引起眼、鼻刺激症状，头痛。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刺激性：</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具有刺激作用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073" w:type="dxa"/>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最高容许浓度</w:t>
                  </w:r>
                </w:p>
              </w:tc>
              <w:tc>
                <w:tcPr>
                  <w:tcW w:w="7207" w:type="dxa"/>
                  <w:gridSpan w:val="7"/>
                  <w:vAlign w:val="center"/>
                </w:tcPr>
                <w:p>
                  <w:pPr>
                    <w:widowControl w:val="0"/>
                    <w:tabs>
                      <w:tab w:val="center" w:pos="4153"/>
                      <w:tab w:val="right" w:pos="8306"/>
                    </w:tabs>
                    <w:snapToGrid w:val="0"/>
                    <w:spacing w:line="240" w:lineRule="auto"/>
                    <w:jc w:val="center"/>
                    <w:rPr>
                      <w:rFonts w:eastAsia="宋体"/>
                      <w:sz w:val="21"/>
                      <w:szCs w:val="21"/>
                    </w:rPr>
                  </w:pPr>
                  <w:r>
                    <w:rPr>
                      <w:rFonts w:eastAsia="宋体"/>
                      <w:sz w:val="21"/>
                      <w:szCs w:val="21"/>
                    </w:rPr>
                    <w:t>目前无标准</w:t>
                  </w:r>
                </w:p>
              </w:tc>
            </w:tr>
          </w:tbl>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2、主要物料风险识别</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根据《常用危险化学品的分类及标志》（GB13690-92），常用危险化学品按其主要危险特性分为8 类。汽油属第3 类“易燃液体”中的“低闪点液体”。建筑火险分级为汽油为甲级，柴油为乙级。由于汽油闪点很低，因此，按照《爆炸危险场所安全规定》（劳动部发[1995]56 号），加油站属于特别危险场所。其危险特性为：①汽油蒸汽与空气易形成爆炸性混合物；②与氧化剂会发生强烈反应，遇明火、高热会引起燃烧爆炸。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hint="eastAsia" w:ascii="Times New Roman" w:hAnsi="Times New Roman" w:cs="Times New Roman"/>
                <w:sz w:val="24"/>
                <w:szCs w:val="24"/>
              </w:rPr>
              <w:t>、火灾爆炸危险</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汽油、柴油均属易燃、易爆液体，如果在储存、输送过程发生跑、冒、滴、漏，卸油过程中如果静电接地不好或管线、接头等有渗漏，加油过程加油设备及管线出现故障或加油过程操作不当等会引起油料泄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因此，本项目加油作业区内，不得有“明火地点”或“散发火花地点”。</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hint="eastAsia" w:ascii="Times New Roman" w:hAnsi="Times New Roman" w:cs="Times New Roman"/>
                <w:sz w:val="24"/>
                <w:szCs w:val="24"/>
              </w:rPr>
              <w:t>、毒性危害</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加油站主要的毒性物质为汽油和柴油，其毒性危害如下：</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汽油对中枢神经系统有麻醉作用。轻度中毒症状有头晕、头痛、恶心、呕吐、步态不稳、共济失调。高浓度吸入出现中毒性脑病。极高浓度吸入引起意识突然丧失、反射性呼吸停止。液体吸入呼吸道可引起吸入性皮炎。溅入眼内可致角膜溃疡、穿孔，甚至失明。皮肤接触致急性接触性皮炎，甚至灼伤。皮肤接触柴油可引起接触性皮炎、油性痤疮，吸入可引起吸入性肺炎，能经胎盘进入胎儿血中。柴油废气可引起眼、鼻刺激症状，头晕及头痛。</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hint="eastAsia" w:ascii="Times New Roman" w:hAnsi="Times New Roman" w:cs="Times New Roman"/>
                <w:sz w:val="24"/>
                <w:szCs w:val="24"/>
              </w:rPr>
              <w:t>、其它危险、危害性</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加油站的电气设备较多，若绝缘、保护装置不良或损坏及人的误操作，易造成触电事故。</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3、主要风险场所识别</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①储罐区：储罐是加油站最容易发生事故的场所，如油罐泄漏遇雷击或静电闪火引燃引起爆炸。</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②加油岛：加油岛为各种机动车辆加油的场所。由于汽车尾气带火星、加油过满溢出、加油机漏油、加油机防爆电气故障、抽烟等原因，容易引发火灾爆炸事故。</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③卸油作业：加油车不熄火，送油车静电没有消散，油罐车卸油连通软管导静电性能差；雷雨天往油罐卸油或往汽车车箱加油速度过快，加油操作失误；密闭卸油接口处漏油；对明火源管理不严等，都有可能会导致火灾、爆炸或设备损坏或人身伤亡事故。</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（三）源项分析</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1、事故类型</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加油站的功能主要是对汽油和柴油进行储存及加油，工艺流程包括汽车卸油、储存、发油等。根据工程的特点并调研同类型项目的事故类型，本加油站主要事故类型可以分为火灾与爆炸、溢出与泄漏两大类。</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（1）火灾与爆炸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有资料表明，在发油时，因为液位下降，罐中气体空间增大，罐内气体压力小于大气压力，大量空气补充进入罐内，当达到爆炸极限时，遇火就会发生爆炸。同时，油品输出使罐内形成负压，在罐外燃烧的火焰还会被吸入储油罐内，使罐内油蒸气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加油站若要发生火灾及爆炸，必须具备下列条件：</w:t>
            </w:r>
            <w:r>
              <w:rPr>
                <w:rFonts w:hint="eastAsia" w:hAnsi="宋体" w:cs="宋体"/>
                <w:sz w:val="24"/>
                <w:szCs w:val="24"/>
              </w:rPr>
              <w:t>①</w:t>
            </w:r>
            <w:r>
              <w:rPr>
                <w:rFonts w:ascii="Times New Roman" w:hAnsi="Times New Roman" w:cs="Times New Roman"/>
                <w:sz w:val="24"/>
                <w:szCs w:val="24"/>
              </w:rPr>
              <w:t>油类泄漏或油气蒸发；</w:t>
            </w:r>
            <w:r>
              <w:rPr>
                <w:rFonts w:hint="eastAsia" w:hAnsi="宋体" w:cs="宋体"/>
                <w:sz w:val="24"/>
                <w:szCs w:val="24"/>
              </w:rPr>
              <w:t>②</w:t>
            </w:r>
            <w:r>
              <w:rPr>
                <w:rFonts w:ascii="Times New Roman" w:hAnsi="Times New Roman" w:cs="Times New Roman"/>
                <w:sz w:val="24"/>
                <w:szCs w:val="24"/>
              </w:rPr>
              <w:t>有足够的空气助燃；</w:t>
            </w:r>
            <w:r>
              <w:rPr>
                <w:rFonts w:hint="eastAsia" w:hAnsi="宋体" w:cs="宋体"/>
                <w:sz w:val="24"/>
                <w:szCs w:val="24"/>
              </w:rPr>
              <w:t>③</w:t>
            </w:r>
            <w:r>
              <w:rPr>
                <w:rFonts w:ascii="Times New Roman" w:hAnsi="Times New Roman" w:cs="Times New Roman"/>
                <w:sz w:val="24"/>
                <w:szCs w:val="24"/>
              </w:rPr>
              <w:t>油气必须与空气混和，并达到一定的浓度；</w:t>
            </w:r>
            <w:r>
              <w:rPr>
                <w:rFonts w:hint="eastAsia" w:hAnsi="宋体" w:cs="宋体"/>
                <w:sz w:val="24"/>
                <w:szCs w:val="24"/>
              </w:rPr>
              <w:t>④</w:t>
            </w:r>
            <w:r>
              <w:rPr>
                <w:rFonts w:ascii="Times New Roman" w:hAnsi="Times New Roman" w:cs="Times New Roman"/>
                <w:sz w:val="24"/>
                <w:szCs w:val="24"/>
              </w:rPr>
              <w:t>现场有明火。只有以上四个条件同时具备时，才可能发生火灾和爆炸。根据调查，我国北京地区从上世纪五十年代起50多年来已经建立800多个油罐，至今尚未发生油罐的着火及爆炸事故，根据全国统计，储罐火灾及爆炸事故发生的概率远远低于3.1×10</w:t>
            </w:r>
            <w:r>
              <w:rPr>
                <w:rFonts w:ascii="Times New Roman" w:hAnsi="Times New Roman" w:cs="Times New Roman"/>
                <w:sz w:val="24"/>
                <w:szCs w:val="24"/>
                <w:vertAlign w:val="superscript"/>
              </w:rPr>
              <w:t>-5</w:t>
            </w:r>
            <w:r>
              <w:rPr>
                <w:rFonts w:ascii="Times New Roman" w:hAnsi="Times New Roman" w:cs="Times New Roman"/>
                <w:sz w:val="24"/>
                <w:szCs w:val="24"/>
              </w:rPr>
              <w:t>次/年。</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若本项目油品泄漏并引发火灾爆炸事故，由于汽油和柴油等为可燃液体，发生火灾爆炸时燃烧较充分，主要燃烧产物为CO</w:t>
            </w:r>
            <w:r>
              <w:rPr>
                <w:rFonts w:hint="eastAsia" w:ascii="Times New Roman" w:hAnsi="Times New Roman" w:cs="Times New Roman"/>
                <w:sz w:val="24"/>
                <w:szCs w:val="24"/>
                <w:vertAlign w:val="subscript"/>
              </w:rPr>
              <w:t>2</w:t>
            </w:r>
            <w:r>
              <w:rPr>
                <w:rFonts w:hint="eastAsia" w:ascii="Times New Roman" w:hAnsi="Times New Roman" w:cs="Times New Roman"/>
                <w:sz w:val="24"/>
                <w:szCs w:val="24"/>
              </w:rPr>
              <w:t>，在燃烧不充分时产生一定量的CO。燃烧过程产生的CO 量一般不会超过10%，由于火灾爆炸在开放的空间发生，即便产生CO，也会快速扩散，不会造成人员窒息影响。因此，项目若发生火灾和爆炸，在短时间内对项目站区将产生影响，对周边影响有限。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（2）油罐溢出、泄漏</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根据统计，储油罐可能发生溢出的原因如下：</w:t>
            </w:r>
            <w:r>
              <w:rPr>
                <w:rFonts w:hint="eastAsia" w:hAnsi="宋体" w:cs="宋体"/>
                <w:sz w:val="24"/>
                <w:szCs w:val="24"/>
              </w:rPr>
              <w:t>①</w:t>
            </w:r>
            <w:r>
              <w:rPr>
                <w:rFonts w:ascii="Times New Roman" w:hAnsi="Times New Roman" w:cs="Times New Roman"/>
                <w:sz w:val="24"/>
                <w:szCs w:val="24"/>
              </w:rPr>
              <w:t>油罐计量仪表失灵，致使油罐加油过程中灌满溢出；</w:t>
            </w:r>
            <w:r>
              <w:rPr>
                <w:rFonts w:hint="eastAsia" w:hAnsi="宋体" w:cs="宋体"/>
                <w:sz w:val="24"/>
                <w:szCs w:val="24"/>
              </w:rPr>
              <w:t>②</w:t>
            </w:r>
            <w:r>
              <w:rPr>
                <w:rFonts w:ascii="Times New Roman" w:hAnsi="Times New Roman" w:cs="Times New Roman"/>
                <w:sz w:val="24"/>
                <w:szCs w:val="24"/>
              </w:rPr>
              <w:t>在为储罐加油过程中，由于存在气障气阻，致使油类溢出；</w:t>
            </w:r>
            <w:r>
              <w:rPr>
                <w:rFonts w:hint="eastAsia" w:hAnsi="宋体" w:cs="宋体"/>
                <w:sz w:val="24"/>
                <w:szCs w:val="24"/>
              </w:rPr>
              <w:t>③</w:t>
            </w:r>
            <w:r>
              <w:rPr>
                <w:rFonts w:ascii="Times New Roman" w:hAnsi="Times New Roman" w:cs="Times New Roman"/>
                <w:sz w:val="24"/>
                <w:szCs w:val="24"/>
              </w:rPr>
              <w:t>在加油过程中，由于接口不同，衔接不严密，致使油类溢出。</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可能发生油罐泄漏的原因如下：</w:t>
            </w:r>
            <w:r>
              <w:rPr>
                <w:rFonts w:hint="eastAsia" w:hAnsi="宋体" w:cs="宋体"/>
                <w:sz w:val="24"/>
                <w:szCs w:val="24"/>
              </w:rPr>
              <w:t>①</w:t>
            </w:r>
            <w:r>
              <w:rPr>
                <w:rFonts w:ascii="Times New Roman" w:hAnsi="Times New Roman" w:cs="Times New Roman"/>
                <w:sz w:val="24"/>
                <w:szCs w:val="24"/>
              </w:rPr>
              <w:t>输油管路腐蚀致使油类泄漏；</w:t>
            </w:r>
            <w:r>
              <w:rPr>
                <w:rFonts w:hint="eastAsia" w:hAnsi="宋体" w:cs="宋体"/>
                <w:sz w:val="24"/>
                <w:szCs w:val="24"/>
              </w:rPr>
              <w:t>②</w:t>
            </w:r>
            <w:r>
              <w:rPr>
                <w:rFonts w:ascii="Times New Roman" w:hAnsi="Times New Roman" w:cs="Times New Roman"/>
                <w:sz w:val="24"/>
                <w:szCs w:val="24"/>
              </w:rPr>
              <w:t>在收发油过程中，由于操作失误，致使油类泄漏；</w:t>
            </w:r>
            <w:r>
              <w:rPr>
                <w:rFonts w:hint="eastAsia" w:hAnsi="宋体" w:cs="宋体"/>
                <w:sz w:val="24"/>
                <w:szCs w:val="24"/>
              </w:rPr>
              <w:t>③</w:t>
            </w:r>
            <w:r>
              <w:rPr>
                <w:rFonts w:ascii="Times New Roman" w:hAnsi="Times New Roman" w:cs="Times New Roman"/>
                <w:sz w:val="24"/>
                <w:szCs w:val="24"/>
              </w:rPr>
              <w:t>各个管道接口不严，致使跑、冒、滴、漏现象的发生。</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从前面两种事故分析来看，第一类事故出现的频率较低，但其危害性较大，一旦出现瞬间即可完成，并且很难进行补救和应急，其后果十分严重。本加油站采用卧式油罐埋地设置，根据《汽车加油加气站设计与施工规范》(GB50156-2012)，采用卧式油罐埋地设置比较安全。从国内外的有关调查资料统计来看，油罐埋地设置、发生火灾的几率很少。即使油罐发生着火，也容易扑救。例如，1987年2月4日，北京市和平里加油站油罐进油口着火，用干粉灭火器很快被扑灭，没有影响其它设施；1986年5月2日，郑州市人民路加油站的油罐入孔处着火、用干粉灭火器及时扑灭；广州、天津也曾发生过加油站埋地罐口着火情况，也都用干粉灭火器很快被扑灭，均没造成灾害。英国石油学会《销售安全规范》讲到，I类石油(即汽油类)只要储存在埋地罐内，就没有发生火灾的可能性。</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第二类事故的发生频率相对第一类事故要高一些，其发生带有明显的随机性和偶然性。这类事故的出现对环境的影响将会持续一定的时间，带来的后果也较为严重。本项目各输油管道与油罐都按照有关规范进行了设计与施工，并采取了有效的检测渗漏的设施，只要加强管理，按照行业操作规范作业，产生该类事故的几率也很小。</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2、事故原因分析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汽油、柴油虽然属于易燃性液体，但汽油、柴油的燃点很高，通常轻微的泄漏不会造成火灾、爆炸事故，在汽油、柴油的浓度达到爆炸极限时，才会遇火发生爆炸。</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风险事故的成因是多方面的，其主要原因分为人为、设备、原料、环境和管理等几方面原因，现将各事故成因详细分述如下：</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a：人为原因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造成事故的人为原因主要包括设计缺陷、设备选型或安装不当以及站内工作人员安全意识差、违规操作和工作警惕性不高、忽视报警系统警报或是警报系统故障等。</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b：设备原因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设备因素从施工到加油站的日常运营是多方面的：设备设计、选型、安装错误，不符合防火防爆要求；压力管道容器未按正确设计制造、施工，存在缺陷隐患；设备失修、维护不当，超负荷运行或带病运行；</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管线、加油机等接地不符合规定要求；电气设备不符合防爆要求；安全附件、报警装置、设备不当或失灵。</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c：材料原因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主要是汽油、柴油自身静电或气质有问题，存在事故隐患。</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d：环境因素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自然环境异常现象：雷电、地震、洪水、滑坡和土壤腐蚀等。地震发生后因地面震动、断层区土壤破坏及错动、震动及地面断裂等可能造成站场处理设备、管道的破坏，导致事故发生。根据土壤硬化性质对金属的腐蚀性可知，沼泽地、盐渍地、湿地为强腐蚀环境，其余为中度或弱腐蚀区。腐蚀会使管线壁厚减小甚至穿孔，容易引起爆裂。其他自然因素如雷电、洪水、滑坡等也可能诱发风险事故。不良工作环境：不适宜的温度、适度、震动等。与周围环境相关建筑不符合防火要求</w:t>
            </w:r>
            <w:r>
              <w:rPr>
                <w:rFonts w:hint="eastAsia" w:ascii="Times New Roman" w:hAnsi="Times New Roman" w:cs="Times New Roman"/>
                <w:sz w:val="24"/>
                <w:szCs w:val="24"/>
              </w:rPr>
              <w:t>等</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e：管理因素</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一般是对职工培训工作不到位，安全防范教育不足，以及日常工作管理不严，指挥失职等。</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（四）</w:t>
            </w:r>
            <w:r>
              <w:rPr>
                <w:rFonts w:ascii="Times New Roman" w:hAnsi="Times New Roman" w:cs="Times New Roman"/>
                <w:b/>
                <w:sz w:val="24"/>
                <w:szCs w:val="24"/>
              </w:rPr>
              <w:t>事故影响分析</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根据统计，储油罐可能发生溢出的原因如下：</w:t>
            </w:r>
            <w:r>
              <w:rPr>
                <w:rFonts w:hint="eastAsia" w:hAnsi="宋体" w:cs="宋体"/>
                <w:sz w:val="24"/>
                <w:szCs w:val="24"/>
              </w:rPr>
              <w:t>①</w:t>
            </w:r>
            <w:r>
              <w:rPr>
                <w:rFonts w:ascii="Times New Roman" w:hAnsi="Times New Roman" w:cs="Times New Roman"/>
                <w:sz w:val="24"/>
                <w:szCs w:val="24"/>
              </w:rPr>
              <w:t>油罐计量仪表失灵，致使油罐加油过程中灌满溢出；</w:t>
            </w:r>
            <w:r>
              <w:rPr>
                <w:rFonts w:hint="eastAsia" w:hAnsi="宋体" w:cs="宋体"/>
                <w:sz w:val="24"/>
                <w:szCs w:val="24"/>
              </w:rPr>
              <w:t>②</w:t>
            </w:r>
            <w:r>
              <w:rPr>
                <w:rFonts w:ascii="Times New Roman" w:hAnsi="Times New Roman" w:cs="Times New Roman"/>
                <w:sz w:val="24"/>
                <w:szCs w:val="24"/>
              </w:rPr>
              <w:t>在为储罐加油过程中，由于存在气障气阻，致使油类溢出；</w:t>
            </w:r>
            <w:r>
              <w:rPr>
                <w:rFonts w:hint="eastAsia" w:hAnsi="宋体" w:cs="宋体"/>
                <w:sz w:val="24"/>
                <w:szCs w:val="24"/>
              </w:rPr>
              <w:t>③</w:t>
            </w:r>
            <w:r>
              <w:rPr>
                <w:rFonts w:ascii="Times New Roman" w:hAnsi="Times New Roman" w:cs="Times New Roman"/>
                <w:sz w:val="24"/>
                <w:szCs w:val="24"/>
              </w:rPr>
              <w:t>在加油过程中，由于接口不同，衔接不严密，致使油类溢出。</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可能发生油罐泄漏的原因如下：</w:t>
            </w:r>
            <w:r>
              <w:rPr>
                <w:rFonts w:hint="eastAsia" w:hAnsi="宋体" w:cs="宋体"/>
                <w:sz w:val="24"/>
                <w:szCs w:val="24"/>
              </w:rPr>
              <w:t>①</w:t>
            </w:r>
            <w:r>
              <w:rPr>
                <w:rFonts w:ascii="Times New Roman" w:hAnsi="Times New Roman" w:cs="Times New Roman"/>
                <w:sz w:val="24"/>
                <w:szCs w:val="24"/>
              </w:rPr>
              <w:t>输油管路腐蚀致使油类泄漏；</w:t>
            </w:r>
            <w:r>
              <w:rPr>
                <w:rFonts w:hint="eastAsia" w:hAnsi="宋体" w:cs="宋体"/>
                <w:sz w:val="24"/>
                <w:szCs w:val="24"/>
              </w:rPr>
              <w:t>②</w:t>
            </w:r>
            <w:r>
              <w:rPr>
                <w:rFonts w:ascii="Times New Roman" w:hAnsi="Times New Roman" w:cs="Times New Roman"/>
                <w:sz w:val="24"/>
                <w:szCs w:val="24"/>
              </w:rPr>
              <w:t>在收发油过程中，由于操作失误，致使油类泄漏；</w:t>
            </w:r>
            <w:r>
              <w:rPr>
                <w:rFonts w:hint="eastAsia" w:hAnsi="宋体" w:cs="宋体"/>
                <w:sz w:val="24"/>
                <w:szCs w:val="24"/>
              </w:rPr>
              <w:t>③</w:t>
            </w:r>
            <w:r>
              <w:rPr>
                <w:rFonts w:ascii="Times New Roman" w:hAnsi="Times New Roman" w:cs="Times New Roman"/>
                <w:sz w:val="24"/>
                <w:szCs w:val="24"/>
              </w:rPr>
              <w:t>各个管道接口不严，致使跑、冒、滴、漏现象的发生。</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加油站采用卧式油罐埋地设置，根据《汽车加油加气站设计与施工规范》（GB50156-2012），采用卧式油罐埋地设置比较安全。从国内外的有关调查资料统计来看，油罐埋地设置、发生火灾的几率很少。即使油罐发生着火，也容易扑救。本项目各输油管道与油罐都按照有关规范进行了设计与施工，并采取了有效的检测渗漏的设施，只要加强管理，按照行业操作规范作业，产生该类事故的几率也很小。</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本环评将主要就油罐溢出、泄漏事故</w:t>
            </w:r>
            <w:r>
              <w:rPr>
                <w:rFonts w:hint="eastAsia" w:ascii="Times New Roman" w:hAnsi="Times New Roman" w:cs="Times New Roman"/>
                <w:sz w:val="24"/>
                <w:szCs w:val="24"/>
              </w:rPr>
              <w:t>、火灾爆炸事故</w:t>
            </w:r>
            <w:r>
              <w:rPr>
                <w:rFonts w:ascii="Times New Roman" w:hAnsi="Times New Roman" w:cs="Times New Roman"/>
                <w:sz w:val="24"/>
                <w:szCs w:val="24"/>
              </w:rPr>
              <w:t>对环境的影响进行阐述。</w:t>
            </w:r>
          </w:p>
          <w:p>
            <w:pPr>
              <w:pStyle w:val="13"/>
              <w:ind w:firstLine="480" w:firstLineChars="200"/>
              <w:rPr>
                <w:rFonts w:ascii="Times New Roman" w:hAnsi="Times New Roman" w:cs="Times New Roman"/>
                <w:sz w:val="24"/>
                <w:szCs w:val="24"/>
              </w:rPr>
            </w:pPr>
            <w:r>
              <w:rPr>
                <w:rFonts w:hint="eastAsia" w:hAnsi="宋体" w:cs="宋体"/>
                <w:sz w:val="24"/>
                <w:szCs w:val="24"/>
              </w:rPr>
              <w:t>①</w:t>
            </w:r>
            <w:r>
              <w:rPr>
                <w:rFonts w:ascii="Times New Roman" w:hAnsi="Times New Roman" w:cs="Times New Roman"/>
                <w:sz w:val="24"/>
                <w:szCs w:val="24"/>
              </w:rPr>
              <w:t>对地表水的污染</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泄漏或渗漏的成品油一旦进入地表水，将造成地表水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C4～C9的烃类、芳烃类、醇酮类以及卤代烃类有机物，一旦进入水环境，由于可生化性较差，造成被污染水体长时间得不到净化，完全恢复则需十几年、甚至几十年的时间。</w:t>
            </w:r>
          </w:p>
          <w:p>
            <w:pPr>
              <w:pStyle w:val="13"/>
              <w:ind w:firstLine="480" w:firstLineChars="200"/>
              <w:rPr>
                <w:rFonts w:ascii="Times New Roman" w:hAnsi="Times New Roman" w:cs="Times New Roman"/>
                <w:color w:val="FF0000"/>
                <w:sz w:val="24"/>
                <w:szCs w:val="24"/>
              </w:rPr>
            </w:pPr>
            <w:r>
              <w:rPr>
                <w:rFonts w:hint="eastAsia" w:ascii="Times New Roman" w:hAnsi="Times New Roman" w:cs="Times New Roman"/>
                <w:sz w:val="24"/>
                <w:szCs w:val="24"/>
              </w:rPr>
              <w:t>本项目所在区域主要的地表水体为沂南河，位于本项目北侧1000m处。当加油站一旦发生渗漏与溢出事故时，油品将积聚在油罐区，不会溢出油罐区，建设单位应及时启动突发环境事件应急预案，采用吸油毡、沙袋、收油机等设施设备处置泄漏油品，避免进入外环境。通过及时采取突发环境事件风险防范措施，不会对</w:t>
            </w:r>
            <w:r>
              <w:rPr>
                <w:rFonts w:ascii="Times New Roman" w:hAnsi="Times New Roman" w:cs="Times New Roman"/>
                <w:sz w:val="24"/>
                <w:szCs w:val="24"/>
              </w:rPr>
              <w:t>地表水体</w:t>
            </w:r>
            <w:r>
              <w:rPr>
                <w:rFonts w:hint="eastAsia" w:ascii="Times New Roman" w:hAnsi="Times New Roman" w:cs="Times New Roman"/>
                <w:sz w:val="24"/>
                <w:szCs w:val="24"/>
              </w:rPr>
              <w:t>造成影响</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对地下水的污染</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储油罐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项目采用玻璃钢防腐防渗技术，对储油罐内外表面、防油堤的内表面、油罐区地面、输油管线外表面均做了防渗防腐处理，加油站一旦发生溢出与渗漏事故，油品将由于防渗层的保护作用，积聚在储油区，对地下水不会造成影响。</w:t>
            </w:r>
          </w:p>
          <w:p>
            <w:pPr>
              <w:pStyle w:val="13"/>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对大气环境的污染</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根据国内外的研究，对于突发性的事故溢油，油品溢出后在地面呈不规则的面源分布，油品的挥发速度重要影响因素为油品蒸汽压、现场风速、油品溢出面积、油品蒸汽分子平均重度。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项目采用地埋式储油罐工艺，加油站一旦发生渗漏与溢出事故时，由于本项目采取了防渗漏检查孔等渗漏溢出检测设施，因此可及时发现储油罐渗漏，油品渗漏量较小，再由于受储油罐罐基及防渗层的保护，渗漏出的成品油将积聚在储油区。</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储油区表面采用了混凝土硬化，较为密闭，油品将主要通过储油区通气管及入孔井非密封处挥发，不会造成大面积的扩散，对大气环境影响较小。</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 4 \* GB3</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④</w:t>
            </w:r>
            <w:r>
              <w:rPr>
                <w:rFonts w:ascii="Times New Roman" w:hAnsi="Times New Roman" w:cs="Times New Roman"/>
                <w:sz w:val="24"/>
                <w:szCs w:val="24"/>
              </w:rPr>
              <w:fldChar w:fldCharType="end"/>
            </w:r>
            <w:r>
              <w:rPr>
                <w:rFonts w:hint="eastAsia" w:ascii="Times New Roman" w:hAnsi="Times New Roman" w:cs="Times New Roman"/>
                <w:sz w:val="24"/>
                <w:szCs w:val="24"/>
              </w:rPr>
              <w:t>火灾爆炸事故后果分析</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油品泄漏后一旦发生火灾爆炸事故，除直接伤害外，燃烧过程次生的CO会对油罐区域、现场工作人员和过往车辆产生危害。为了避免发生连锁事故，将事故的影响降低到最小程度，加油站的设计必须符合加油站设计规范中的相关规定，完善防火措施，并且在发生火灾时必须采取有效的控制措施。</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（五）</w:t>
            </w:r>
            <w:r>
              <w:rPr>
                <w:rFonts w:ascii="Times New Roman" w:hAnsi="Times New Roman" w:cs="Times New Roman"/>
                <w:b/>
                <w:sz w:val="24"/>
                <w:szCs w:val="24"/>
              </w:rPr>
              <w:t>环境风险防范措施</w:t>
            </w:r>
            <w:r>
              <w:rPr>
                <w:rFonts w:hint="eastAsia" w:ascii="Times New Roman" w:hAnsi="Times New Roman" w:cs="Times New Roman"/>
                <w:b/>
                <w:sz w:val="24"/>
                <w:szCs w:val="24"/>
              </w:rPr>
              <w:t>及应急要求</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针对本项目风险源、环境影响途径、环境敏感目标等方面的特点，要求建设单位做好以下风险防范措施：</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a.储油罐采用双层结构，内钢外玻璃纤维增强塑料双层油罐，夹层中设漏油探测器。当发生漏油时，探测器报警，并切断油路；</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b.应按要求设置沙袋、吸油毡等物资。发生泄漏事故，加油站停业，关闭总电源，向总公司报告。组织力量对水封井、排水沟检查，如有油污用沙袋、吸油毡等处理；突发环境事故产生的油沙、含油手套、抹布等属于危废，在事故后应及时委托有资质单位处置；</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c.生产中使用满足工艺要求的设备、管道，并定期检修、防腐，员工规范操作，杜绝物料的“跑、冒、滴、漏”；生产中使用的设备、管道配置了准确的监控仪表和完善的安全附件、防雷、防静电设施；</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d.储油油罐均设通气管，其通气口配阻火帽。</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e.站内配备干粉灭火器、灭火毯和黄沙并设置醒目禁火标志；一旦发生火灾，立即用黄沙、、灭火毯、灭火器等予以扑灭；</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f.在设计时考虑了抗震和振动、脆性破裂、温度应力、腐蚀破裂及密封泄漏等因素，并采取相应的安全措施加以控制；</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g.储罐及加油区域全部电器有防爆措施，同时禁止使用明火，需采取防止静电累积、静电接地措施，并安装可燃气体探测仪。</w:t>
            </w:r>
            <w:r>
              <w:rPr>
                <w:rFonts w:ascii="Times New Roman" w:hAnsi="Times New Roman" w:cs="Times New Roman"/>
                <w:sz w:val="24"/>
                <w:szCs w:val="24"/>
              </w:rPr>
              <w:t>在管沟敷设油品管道的始端、末端和分支处，设置防静电和防感应雷的联合接地装置；油罐安装高低液位报警器，减少管线接口，油罐的进出口管道采用软管连接等。</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h.</w:t>
            </w:r>
            <w:r>
              <w:rPr>
                <w:rFonts w:ascii="Times New Roman" w:hAnsi="Times New Roman" w:cs="Times New Roman"/>
                <w:sz w:val="24"/>
                <w:szCs w:val="24"/>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i.</w:t>
            </w:r>
            <w:r>
              <w:rPr>
                <w:rFonts w:ascii="Times New Roman" w:hAnsi="Times New Roman" w:cs="Times New Roman"/>
                <w:sz w:val="24"/>
                <w:szCs w:val="24"/>
              </w:rPr>
              <w:t>加强技术培训，提高职工安全意识，加油区域禁止烟火和禁止拨打手机，并设立明显的宣传标牌。</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j.</w:t>
            </w:r>
            <w:r>
              <w:rPr>
                <w:rFonts w:ascii="Times New Roman" w:hAnsi="Times New Roman" w:cs="Times New Roman"/>
                <w:sz w:val="24"/>
                <w:szCs w:val="24"/>
              </w:rPr>
              <w:t>对各类贮存容器、机电装置、安全设施、消防器材等，进行各种日常的、定期的、专业的防火安全检查，并将发现的问题落实到人、限期落实整改。建立夜间值班巡查制度、火险报告制度、安全奖惩制度等。</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k.</w:t>
            </w:r>
            <w:r>
              <w:rPr>
                <w:rFonts w:ascii="Times New Roman" w:hAnsi="Times New Roman" w:cs="Times New Roman"/>
                <w:sz w:val="24"/>
                <w:szCs w:val="24"/>
              </w:rPr>
              <w:t>突发环境风险应急预案，是发生事故时应急救援工作的重要组成部分，对防止事故发生、发生事故后有效控制事故、最大限度减少事故造成的损失，有积极意义。</w:t>
            </w:r>
            <w:r>
              <w:rPr>
                <w:rFonts w:hint="eastAsia" w:ascii="Times New Roman" w:hAnsi="Times New Roman" w:cs="Times New Roman"/>
                <w:sz w:val="24"/>
                <w:szCs w:val="24"/>
              </w:rPr>
              <w:t>建设单位应在环保自主竣工验收前完成突发环境事件风险评估及应急预案的编制工作，及时向生态环境主管部门备案。</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l.如发生突发环境风险事故，应按照</w:t>
            </w:r>
            <w:r>
              <w:rPr>
                <w:rFonts w:ascii="Times New Roman" w:hAnsi="Times New Roman" w:cs="Times New Roman"/>
                <w:sz w:val="24"/>
                <w:szCs w:val="24"/>
              </w:rPr>
              <w:t>应急预案组织抢险队和救护队</w:t>
            </w:r>
            <w:r>
              <w:rPr>
                <w:rFonts w:hint="eastAsia" w:ascii="Times New Roman" w:hAnsi="Times New Roman" w:cs="Times New Roman"/>
                <w:sz w:val="24"/>
                <w:szCs w:val="24"/>
              </w:rPr>
              <w:t>：</w:t>
            </w:r>
            <w:r>
              <w:rPr>
                <w:rFonts w:hint="eastAsia" w:hAnsi="宋体" w:cs="宋体"/>
                <w:sz w:val="24"/>
                <w:szCs w:val="24"/>
              </w:rPr>
              <w:t>①</w:t>
            </w:r>
            <w:r>
              <w:rPr>
                <w:rFonts w:ascii="Times New Roman" w:hAnsi="Times New Roman" w:cs="Times New Roman"/>
                <w:sz w:val="24"/>
                <w:szCs w:val="24"/>
              </w:rPr>
              <w:t>当发生火灾事故、油品大量跑冒（泄漏）时，所有员工必须执行紧急疏散、撤离命令，设立警戒区域；</w:t>
            </w:r>
            <w:r>
              <w:rPr>
                <w:rFonts w:hint="eastAsia" w:hAnsi="宋体" w:cs="宋体"/>
                <w:sz w:val="24"/>
                <w:szCs w:val="24"/>
              </w:rPr>
              <w:t>②</w:t>
            </w:r>
            <w:r>
              <w:rPr>
                <w:rFonts w:ascii="Times New Roman" w:hAnsi="Times New Roman" w:cs="Times New Roman"/>
                <w:sz w:val="24"/>
                <w:szCs w:val="24"/>
              </w:rPr>
              <w:t>立即将事故简要报告上级主管领导、生产指挥系统，通知当地公安、消防部门加强防范措施；</w:t>
            </w:r>
            <w:r>
              <w:rPr>
                <w:rFonts w:hint="eastAsia" w:hAnsi="宋体" w:cs="宋体"/>
                <w:sz w:val="24"/>
                <w:szCs w:val="24"/>
              </w:rPr>
              <w:t>③</w:t>
            </w:r>
            <w:r>
              <w:rPr>
                <w:rFonts w:ascii="Times New Roman" w:hAnsi="Times New Roman" w:cs="Times New Roman"/>
                <w:sz w:val="24"/>
                <w:szCs w:val="24"/>
              </w:rPr>
              <w:t>发生火灾爆炸事故时，能自行扑灭火情的可自行利用现有灭火器材进行灭火，无法自行扑灭的，立即拨打消防电话，等待专业消防队伍进行灭火；</w:t>
            </w:r>
            <w:r>
              <w:rPr>
                <w:rFonts w:hint="eastAsia" w:hAnsi="宋体" w:cs="宋体"/>
                <w:sz w:val="24"/>
                <w:szCs w:val="24"/>
              </w:rPr>
              <w:t>④</w:t>
            </w:r>
            <w:r>
              <w:rPr>
                <w:rFonts w:ascii="Times New Roman" w:hAnsi="Times New Roman" w:cs="Times New Roman"/>
                <w:sz w:val="24"/>
                <w:szCs w:val="24"/>
              </w:rPr>
              <w:t>由于项目周边存在居民区</w:t>
            </w:r>
            <w:r>
              <w:rPr>
                <w:rFonts w:hint="eastAsia" w:ascii="Times New Roman" w:hAnsi="Times New Roman" w:cs="Times New Roman"/>
                <w:sz w:val="24"/>
                <w:szCs w:val="24"/>
              </w:rPr>
              <w:t>、学校等敏感目标</w:t>
            </w:r>
            <w:r>
              <w:rPr>
                <w:rFonts w:ascii="Times New Roman" w:hAnsi="Times New Roman" w:cs="Times New Roman"/>
                <w:sz w:val="24"/>
                <w:szCs w:val="24"/>
              </w:rPr>
              <w:t>，因此，在发生火灾爆炸或者油品泄漏事故时，应及时通知</w:t>
            </w:r>
            <w:r>
              <w:rPr>
                <w:rFonts w:hint="eastAsia" w:ascii="Times New Roman" w:hAnsi="Times New Roman" w:cs="Times New Roman"/>
                <w:sz w:val="24"/>
                <w:szCs w:val="24"/>
              </w:rPr>
              <w:t>周边</w:t>
            </w:r>
            <w:r>
              <w:rPr>
                <w:rFonts w:ascii="Times New Roman" w:hAnsi="Times New Roman" w:cs="Times New Roman"/>
                <w:sz w:val="24"/>
                <w:szCs w:val="24"/>
              </w:rPr>
              <w:t>群众有序疏散，防止事故影响波及周边群众。</w:t>
            </w:r>
          </w:p>
          <w:p>
            <w:pPr>
              <w:pStyle w:val="13"/>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（六）环境风险分析结论</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环境风险潜势为I，最大可信事故为储罐或输油管线发生泄漏，以及火灾CO次生/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pPr>
              <w:pStyle w:val="13"/>
              <w:ind w:firstLine="482" w:firstLineChars="200"/>
              <w:jc w:val="center"/>
              <w:rPr>
                <w:rFonts w:ascii="Times New Roman" w:hAnsi="Times New Roman" w:cs="Times New Roman"/>
                <w:b/>
                <w:sz w:val="24"/>
                <w:szCs w:val="24"/>
              </w:rPr>
            </w:pPr>
          </w:p>
          <w:p>
            <w:pPr>
              <w:pStyle w:val="13"/>
              <w:ind w:firstLine="482" w:firstLineChars="200"/>
              <w:jc w:val="center"/>
              <w:rPr>
                <w:rFonts w:ascii="Times New Roman" w:hAnsi="Times New Roman" w:cs="Times New Roman"/>
                <w:b/>
                <w:sz w:val="24"/>
                <w:szCs w:val="24"/>
              </w:rPr>
            </w:pPr>
            <w:r>
              <w:rPr>
                <w:rFonts w:hint="eastAsia" w:ascii="Times New Roman" w:hAnsi="Times New Roman" w:cs="Times New Roman"/>
                <w:b/>
                <w:sz w:val="24"/>
                <w:szCs w:val="24"/>
              </w:rPr>
              <w:t>表7-26 建设项目环境风险简单分析内容表</w:t>
            </w:r>
          </w:p>
          <w:tbl>
            <w:tblPr>
              <w:tblStyle w:val="110"/>
              <w:tblW w:w="90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84"/>
              <w:gridCol w:w="1562"/>
              <w:gridCol w:w="1701"/>
              <w:gridCol w:w="1276"/>
              <w:gridCol w:w="586"/>
              <w:gridCol w:w="690"/>
              <w:gridCol w:w="10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建设项目名称</w:t>
                  </w:r>
                </w:p>
              </w:tc>
              <w:tc>
                <w:tcPr>
                  <w:tcW w:w="6856" w:type="dxa"/>
                  <w:gridSpan w:val="6"/>
                  <w:tcBorders>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沭阳台州路加油站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建设地点</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宿迁市沭阳县台州路东侧与京沪高速交叉口南侧处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bottom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地理坐标</w:t>
                  </w:r>
                </w:p>
              </w:tc>
              <w:tc>
                <w:tcPr>
                  <w:tcW w:w="6856" w:type="dxa"/>
                  <w:gridSpan w:val="6"/>
                  <w:tcBorders>
                    <w:top w:val="single" w:color="000000" w:sz="4" w:space="0"/>
                    <w:left w:val="single" w:color="000000" w:sz="4" w:space="0"/>
                    <w:bottom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color w:val="FF0000"/>
                      <w:sz w:val="21"/>
                      <w:szCs w:val="21"/>
                      <w:lang w:eastAsia="en-US"/>
                    </w:rPr>
                  </w:pPr>
                  <w:r>
                    <w:rPr>
                      <w:rFonts w:eastAsia="宋体" w:asciiTheme="minorHAnsi" w:hAnsiTheme="minorHAnsi" w:cstheme="minorBidi"/>
                      <w:sz w:val="21"/>
                      <w:szCs w:val="21"/>
                      <w:lang w:eastAsia="en-US"/>
                    </w:rPr>
                    <w:t>经度：</w:t>
                  </w:r>
                  <w:r>
                    <w:rPr>
                      <w:rFonts w:hint="eastAsia" w:eastAsia="宋体" w:asciiTheme="minorHAnsi" w:hAnsiTheme="minorHAnsi" w:cstheme="minorBidi"/>
                      <w:sz w:val="21"/>
                      <w:szCs w:val="21"/>
                      <w:lang w:eastAsia="en-US"/>
                    </w:rPr>
                    <w:t>118.802088</w:t>
                  </w:r>
                  <w:r>
                    <w:rPr>
                      <w:rFonts w:eastAsia="宋体" w:asciiTheme="minorHAnsi" w:hAnsiTheme="minorHAnsi" w:cstheme="minorBidi"/>
                      <w:sz w:val="21"/>
                      <w:szCs w:val="21"/>
                      <w:lang w:eastAsia="en-US"/>
                    </w:rPr>
                    <w:t xml:space="preserve"> 纬度：</w:t>
                  </w:r>
                  <w:r>
                    <w:rPr>
                      <w:rFonts w:hint="eastAsia" w:eastAsia="宋体" w:asciiTheme="minorHAnsi" w:hAnsiTheme="minorHAnsi" w:cstheme="minorBidi"/>
                      <w:sz w:val="21"/>
                      <w:szCs w:val="21"/>
                      <w:lang w:eastAsia="en-US"/>
                    </w:rPr>
                    <w:t>34.129847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000000"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主要危险物质及分布</w:t>
                  </w:r>
                </w:p>
              </w:tc>
              <w:tc>
                <w:tcPr>
                  <w:tcW w:w="1562"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物质名称</w:t>
                  </w:r>
                </w:p>
              </w:tc>
              <w:tc>
                <w:tcPr>
                  <w:tcW w:w="1701" w:type="dxa"/>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贮存位置</w:t>
                  </w:r>
                </w:p>
              </w:tc>
              <w:tc>
                <w:tcPr>
                  <w:tcW w:w="1862" w:type="dxa"/>
                  <w:gridSpan w:val="2"/>
                  <w:tcBorders>
                    <w:top w:val="single" w:color="000000"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贮存方式</w:t>
                  </w:r>
                </w:p>
              </w:tc>
              <w:tc>
                <w:tcPr>
                  <w:tcW w:w="1731" w:type="dxa"/>
                  <w:gridSpan w:val="2"/>
                  <w:tcBorders>
                    <w:top w:val="single" w:color="000000"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最大贮存量(t)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汽油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76.5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autoSpaceDN/>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柴油</w:t>
                  </w:r>
                </w:p>
              </w:tc>
              <w:tc>
                <w:tcPr>
                  <w:tcW w:w="1701" w:type="dxa"/>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64"/>
                    <w:ind w:left="237" w:right="237"/>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油罐区</w:t>
                  </w:r>
                </w:p>
              </w:tc>
              <w:tc>
                <w:tcPr>
                  <w:tcW w:w="1862" w:type="dxa"/>
                  <w:gridSpan w:val="2"/>
                  <w:tcBorders>
                    <w:top w:val="single" w:color="auto" w:sz="4" w:space="0"/>
                    <w:left w:val="single" w:color="auto" w:sz="4" w:space="0"/>
                    <w:bottom w:val="single" w:color="auto" w:sz="4" w:space="0"/>
                    <w:right w:val="single" w:color="auto" w:sz="4" w:space="0"/>
                  </w:tcBorders>
                  <w:vAlign w:val="center"/>
                </w:tcPr>
                <w:p>
                  <w:pPr>
                    <w:pStyle w:val="109"/>
                    <w:tabs>
                      <w:tab w:val="center" w:pos="4153"/>
                      <w:tab w:val="right" w:pos="8306"/>
                    </w:tabs>
                    <w:autoSpaceDE/>
                    <w:autoSpaceDN/>
                    <w:snapToGrid w:val="0"/>
                    <w:spacing w:before="43"/>
                    <w:ind w:left="236"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埋地储罐</w:t>
                  </w:r>
                </w:p>
              </w:tc>
              <w:tc>
                <w:tcPr>
                  <w:tcW w:w="1731" w:type="dxa"/>
                  <w:gridSpan w:val="2"/>
                  <w:tcBorders>
                    <w:top w:val="single" w:color="auto" w:sz="4" w:space="0"/>
                    <w:left w:val="single" w:color="auto" w:sz="4" w:space="0"/>
                    <w:bottom w:val="single" w:color="auto" w:sz="4" w:space="0"/>
                  </w:tcBorders>
                  <w:vAlign w:val="center"/>
                </w:tcPr>
                <w:p>
                  <w:pPr>
                    <w:pStyle w:val="109"/>
                    <w:tabs>
                      <w:tab w:val="center" w:pos="4153"/>
                      <w:tab w:val="right" w:pos="8306"/>
                    </w:tabs>
                    <w:autoSpaceDE/>
                    <w:autoSpaceDN/>
                    <w:snapToGrid w:val="0"/>
                    <w:spacing w:before="43"/>
                    <w:ind w:right="238"/>
                    <w:rPr>
                      <w:rFonts w:ascii="Times New Roman" w:hAnsi="Times New Roman" w:cs="Times New Roman"/>
                      <w:kern w:val="2"/>
                      <w:sz w:val="21"/>
                      <w:szCs w:val="21"/>
                      <w:lang w:eastAsia="zh-CN"/>
                    </w:rPr>
                  </w:pPr>
                  <w:r>
                    <w:rPr>
                      <w:rFonts w:hint="eastAsia" w:ascii="Times New Roman" w:hAnsi="Times New Roman" w:cs="Times New Roman"/>
                      <w:kern w:val="2"/>
                      <w:sz w:val="21"/>
                      <w:szCs w:val="21"/>
                      <w:lang w:eastAsia="zh-CN"/>
                    </w:rPr>
                    <w:t>23.76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restart"/>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环境影响途径及危害后果（大气、地表水、地下水等）</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风险源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主要危险物质</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环境风险类型</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影响途径</w:t>
                  </w:r>
                </w:p>
              </w:tc>
              <w:tc>
                <w:tcPr>
                  <w:tcW w:w="1041" w:type="dxa"/>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危害后果</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埋地储罐</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泄漏、渗漏</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土壤、地下水</w:t>
                  </w:r>
                </w:p>
              </w:tc>
              <w:tc>
                <w:tcPr>
                  <w:tcW w:w="1041" w:type="dxa"/>
                  <w:vMerge w:val="restart"/>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环境污染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vMerge w:val="continue"/>
                  <w:tcBorders>
                    <w:top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562"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加油机、卸油区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汽油、柴油</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泄漏、火灾CO次</w:t>
                  </w:r>
                  <w:r>
                    <w:rPr>
                      <w:rFonts w:eastAsia="宋体" w:asciiTheme="minorHAnsi" w:hAnsiTheme="minorHAnsi" w:cstheme="minorBidi"/>
                      <w:sz w:val="21"/>
                      <w:szCs w:val="21"/>
                      <w:lang w:eastAsia="en-US"/>
                    </w:rPr>
                    <w:t>/</w:t>
                  </w:r>
                  <w:r>
                    <w:rPr>
                      <w:rFonts w:hint="eastAsia" w:eastAsia="宋体" w:asciiTheme="minorHAnsi" w:hAnsiTheme="minorHAnsi" w:cstheme="minorBidi"/>
                      <w:sz w:val="21"/>
                      <w:szCs w:val="21"/>
                      <w:lang w:eastAsia="en-US"/>
                    </w:rPr>
                    <w:t>伴生</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大气</w:t>
                  </w:r>
                </w:p>
              </w:tc>
              <w:tc>
                <w:tcPr>
                  <w:tcW w:w="1041" w:type="dxa"/>
                  <w:vMerge w:val="continue"/>
                  <w:tcBorders>
                    <w:top w:val="single" w:color="auto" w:sz="4" w:space="0"/>
                    <w:left w:val="single" w:color="auto" w:sz="4" w:space="0"/>
                    <w:bottom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auto" w:sz="4" w:space="0"/>
                    <w:bottom w:val="single" w:color="000000" w:sz="4" w:space="0"/>
                    <w:right w:val="single" w:color="auto"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eastAsia="宋体" w:asciiTheme="minorHAnsi" w:hAnsiTheme="minorHAnsi" w:cstheme="minorBidi"/>
                      <w:b/>
                      <w:sz w:val="21"/>
                      <w:szCs w:val="21"/>
                      <w:lang w:eastAsia="en-US"/>
                    </w:rPr>
                    <w:t>风险防范措施要求</w:t>
                  </w:r>
                </w:p>
              </w:tc>
              <w:tc>
                <w:tcPr>
                  <w:tcW w:w="6856" w:type="dxa"/>
                  <w:gridSpan w:val="6"/>
                  <w:tcBorders>
                    <w:top w:val="single" w:color="auto" w:sz="4" w:space="0"/>
                    <w:left w:val="single" w:color="auto" w:sz="4" w:space="0"/>
                    <w:bottom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a.储油罐采用双层结构，内钢外玻璃纤维增强塑料双层油罐，夹层中设漏油探测器。当发生漏油时，探测器报警，并切断油路；</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b.应按要求设置沙袋、吸油毡等物资。发生泄漏事故，加油站停业，关闭总电源，向总公司报告。组织力量对水封井、排水沟检查，如有油污用沙袋、吸油毡等处理；</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c.生产中使用满足工艺要求的设备、管道，并定期检修、防腐，员工规范操作，杜绝物料的“跑、冒、滴、漏”；生产中使用的设备、管道配置了准确的监控仪表和完善的安全附件、防雷、防静电设施；</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d.储油油罐均设通气管，其通气口配阻火帽。</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e.站内配备干粉灭火器、灭火毯和黄沙并设置醒目禁火标志；一旦发生火灾，立即用黄沙、、灭火毯、灭火器等予以扑灭；</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f.在设计时考虑了抗震和振动、脆性破裂、温度应力、腐蚀破裂及密封泄漏等因素，并采取相应的安全措施加以控制；</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g.储罐及加油区域全部电器有防爆措施，同时禁止使用明火，需采取防止静电累积、静电接地措施，并安装可燃气体探测仪。</w:t>
                  </w:r>
                  <w:r>
                    <w:rPr>
                      <w:rFonts w:eastAsia="宋体" w:asciiTheme="minorHAnsi" w:hAnsiTheme="minorHAnsi" w:cstheme="minorBidi"/>
                      <w:sz w:val="21"/>
                      <w:szCs w:val="21"/>
                      <w:lang w:eastAsia="en-US"/>
                    </w:rPr>
                    <w:t>在管沟敷设油品管道的始端、末端和分支处，设置防静电和防感应雷的联合接地装置；油罐安装高低液位报警器，减少管线接口，油罐的进出口管道采用软管连接等。</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h.</w:t>
                  </w:r>
                  <w:r>
                    <w:rPr>
                      <w:rFonts w:eastAsia="宋体" w:asciiTheme="minorHAnsi" w:hAnsiTheme="minorHAnsi" w:cstheme="minorBidi"/>
                      <w:sz w:val="21"/>
                      <w:szCs w:val="21"/>
                      <w:lang w:eastAsia="en-US"/>
                    </w:rPr>
                    <w:t>总图布置严格按照《汽车加油加气站设计与施工规范》的要求进行设计，严格控制各建、构筑物的安全防护距离；工艺设备、运输设施及工艺系统选用高质、高效可靠性的产品。加油站防爆区电气设备、器材的选型、设计安装及维护均符合《爆炸火灾危电力装置设计规范》（GB50058）和《漏电保护器安装与运行》（GB13955）的规定；</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i.</w:t>
                  </w:r>
                  <w:r>
                    <w:rPr>
                      <w:rFonts w:eastAsia="宋体" w:asciiTheme="minorHAnsi" w:hAnsiTheme="minorHAnsi" w:cstheme="minorBidi"/>
                      <w:sz w:val="21"/>
                      <w:szCs w:val="21"/>
                      <w:lang w:eastAsia="en-US"/>
                    </w:rPr>
                    <w:t>加强技术培训，提高职工安全意识，加油区域禁止烟火和禁止拨打手机，并设立明显的宣传标牌。</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j.</w:t>
                  </w:r>
                  <w:r>
                    <w:rPr>
                      <w:rFonts w:eastAsia="宋体" w:asciiTheme="minorHAnsi" w:hAnsiTheme="minorHAnsi" w:cstheme="minorBidi"/>
                      <w:sz w:val="21"/>
                      <w:szCs w:val="21"/>
                      <w:lang w:eastAsia="en-US"/>
                    </w:rPr>
                    <w:t>对各类贮存容器、机电装置、安全设施、消防器材等，进行各种日常的、定期的、专业的防火安全检查，并将发现的问题落实到人、限期落实整改。建立夜间值班巡查制度、火险报告制度、安全奖惩制度等。</w:t>
                  </w:r>
                </w:p>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k.建设单位应在环保自主竣工验收前完成突发环境事件风险评估及应急预案的编制工作，及时向生态环境主管部门备案。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84" w:type="dxa"/>
                  <w:tcBorders>
                    <w:top w:val="single" w:color="000000" w:sz="4" w:space="0"/>
                    <w:right w:val="single" w:color="000000" w:sz="4"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b/>
                      <w:sz w:val="21"/>
                      <w:szCs w:val="21"/>
                      <w:lang w:eastAsia="en-US"/>
                    </w:rPr>
                  </w:pPr>
                  <w:r>
                    <w:rPr>
                      <w:rFonts w:hint="eastAsia" w:eastAsia="宋体" w:asciiTheme="minorHAnsi" w:hAnsiTheme="minorHAnsi" w:cstheme="minorBidi"/>
                      <w:b/>
                      <w:sz w:val="21"/>
                      <w:szCs w:val="21"/>
                      <w:lang w:eastAsia="en-US"/>
                    </w:rPr>
                    <w:t>填表说明（列出项目相关信息及评价说明）</w:t>
                  </w:r>
                </w:p>
              </w:tc>
              <w:tc>
                <w:tcPr>
                  <w:tcW w:w="6856" w:type="dxa"/>
                  <w:gridSpan w:val="6"/>
                  <w:tcBorders>
                    <w:top w:val="single" w:color="000000" w:sz="4" w:space="0"/>
                    <w:left w:val="single" w:color="000000" w:sz="4" w:space="0"/>
                  </w:tcBorders>
                  <w:vAlign w:val="center"/>
                </w:tcPr>
                <w:p>
                  <w:pPr>
                    <w:widowControl w:val="0"/>
                    <w:tabs>
                      <w:tab w:val="center" w:pos="4153"/>
                      <w:tab w:val="right" w:pos="8306"/>
                    </w:tabs>
                    <w:autoSpaceDE w:val="0"/>
                    <w:autoSpaceDN w:val="0"/>
                    <w:snapToGrid w:val="0"/>
                    <w:spacing w:line="240" w:lineRule="auto"/>
                    <w:ind w:firstLine="420" w:firstLineChars="200"/>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通过上述分析，企业在确保环境风险防范措施和应急预案落实的条件下，项目选址和建设从环境风险的角度是可以接受的，本项目的环境风险可防控。</w:t>
                  </w:r>
                </w:p>
              </w:tc>
            </w:tr>
          </w:tbl>
          <w:p>
            <w:pPr>
              <w:pStyle w:val="13"/>
              <w:ind w:firstLine="480" w:firstLineChars="200"/>
              <w:rPr>
                <w:rFonts w:ascii="Times New Roman" w:hAnsi="Times New Roman" w:cs="Times New Roman"/>
                <w:sz w:val="24"/>
                <w:szCs w:val="24"/>
              </w:rPr>
            </w:pPr>
          </w:p>
          <w:p>
            <w:pPr>
              <w:widowControl w:val="0"/>
              <w:snapToGrid w:val="0"/>
              <w:jc w:val="both"/>
              <w:rPr>
                <w:rFonts w:eastAsia="宋体"/>
                <w:b/>
                <w:sz w:val="24"/>
                <w:szCs w:val="24"/>
              </w:rPr>
            </w:pPr>
            <w:r>
              <w:rPr>
                <w:rFonts w:hint="eastAsia" w:eastAsia="宋体"/>
                <w:b/>
                <w:sz w:val="24"/>
                <w:szCs w:val="24"/>
              </w:rPr>
              <w:t>7.3</w:t>
            </w:r>
            <w:r>
              <w:rPr>
                <w:rFonts w:eastAsia="宋体"/>
                <w:b/>
                <w:sz w:val="24"/>
                <w:szCs w:val="24"/>
              </w:rPr>
              <w:t>环境管理与监测</w:t>
            </w:r>
            <w:r>
              <w:rPr>
                <w:rFonts w:hint="eastAsia" w:eastAsia="宋体"/>
                <w:b/>
                <w:sz w:val="24"/>
                <w:szCs w:val="24"/>
              </w:rPr>
              <w:t>计划</w:t>
            </w:r>
          </w:p>
          <w:p>
            <w:pPr>
              <w:ind w:firstLine="482" w:firstLineChars="200"/>
              <w:rPr>
                <w:rFonts w:eastAsia="宋体"/>
                <w:b/>
                <w:sz w:val="24"/>
                <w:szCs w:val="24"/>
              </w:rPr>
            </w:pPr>
            <w:r>
              <w:rPr>
                <w:rFonts w:hint="eastAsia" w:eastAsia="宋体"/>
                <w:b/>
                <w:sz w:val="24"/>
                <w:szCs w:val="24"/>
              </w:rPr>
              <w:t>7.3.1环境管理要求</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1、环境保护责任主体与环境影响考核点</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本项目环境保护责任主体为</w:t>
            </w:r>
            <w:r>
              <w:rPr>
                <w:rFonts w:hint="eastAsia" w:ascii="Times New Roman" w:hAnsi="Times New Roman" w:cs="Times New Roman"/>
                <w:sz w:val="24"/>
                <w:szCs w:val="24"/>
              </w:rPr>
              <w:t>运营单位中国石油天然气股份有限公司江苏宿迁沭阳台州路加油站</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环境噪声影响考核点为本项目厂界外1m</w:t>
            </w:r>
            <w:r>
              <w:rPr>
                <w:rFonts w:hint="eastAsia"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水环境影响考核点为</w:t>
            </w:r>
            <w:r>
              <w:rPr>
                <w:rFonts w:hint="eastAsia" w:ascii="Times New Roman" w:hAnsi="Times New Roman" w:cs="Times New Roman"/>
                <w:sz w:val="24"/>
                <w:szCs w:val="24"/>
              </w:rPr>
              <w:t>加油站排水口；</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大气环境影响考核点为</w:t>
            </w:r>
            <w:r>
              <w:rPr>
                <w:rFonts w:hint="eastAsia" w:ascii="Times New Roman" w:hAnsi="Times New Roman" w:cs="Times New Roman"/>
                <w:sz w:val="24"/>
                <w:szCs w:val="24"/>
              </w:rPr>
              <w:t>加油站</w:t>
            </w:r>
            <w:r>
              <w:rPr>
                <w:rFonts w:ascii="Times New Roman" w:hAnsi="Times New Roman" w:cs="Times New Roman"/>
                <w:sz w:val="24"/>
                <w:szCs w:val="24"/>
              </w:rPr>
              <w:t>厂界</w:t>
            </w:r>
            <w:r>
              <w:rPr>
                <w:rFonts w:hint="eastAsia" w:ascii="Times New Roman" w:hAnsi="Times New Roman" w:cs="Times New Roman"/>
                <w:sz w:val="24"/>
                <w:szCs w:val="24"/>
              </w:rPr>
              <w:t>外1m</w:t>
            </w:r>
            <w:r>
              <w:rPr>
                <w:rFonts w:ascii="Times New Roman" w:hAnsi="Times New Roman" w:cs="Times New Roman"/>
                <w:sz w:val="24"/>
                <w:szCs w:val="24"/>
              </w:rPr>
              <w:t>。</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2、环境管理</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为了减少和缓解建设项目运行对环境造成的影响，建设单位需建立负有职责的环保管理机制，制订环境管理计划。</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（1）环境管理机构</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建设单位将设立环境管理部门，并配备环保管理人员。环境管理部门主要职能是负责全公司的环境、安全监督管理工作，确保环保设施的正常运行制定各环保设施的操作规程</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（2）环境管理内容</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公司在生产管理中制定的主要环境管理内容和实行的环境管理情况如下：</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①</w:t>
            </w:r>
            <w:r>
              <w:rPr>
                <w:rFonts w:ascii="Times New Roman" w:hAnsi="Times New Roman" w:cs="Times New Roman"/>
                <w:sz w:val="24"/>
                <w:szCs w:val="24"/>
              </w:rPr>
              <w:t>环境教育制度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遵守国家及地方的有关环保方针政策、法令和条例，作好环境教育和技术培训，提高公司员工的环保意识和技术水平，提高污染防治的责任心。对企业员工定期进行环保培训，提高全体员工的安全和环境保护意识。</w:t>
            </w:r>
          </w:p>
          <w:p>
            <w:pPr>
              <w:pStyle w:val="13"/>
              <w:ind w:firstLine="480" w:firstLineChars="200"/>
              <w:rPr>
                <w:rFonts w:ascii="Times New Roman" w:hAnsi="Times New Roman" w:cs="Times New Roman"/>
                <w:sz w:val="24"/>
                <w:szCs w:val="24"/>
              </w:rPr>
            </w:pPr>
            <w:r>
              <w:rPr>
                <w:rFonts w:hint="eastAsia" w:hAnsi="宋体" w:cs="宋体"/>
                <w:sz w:val="24"/>
                <w:szCs w:val="24"/>
              </w:rPr>
              <w:t>②</w:t>
            </w:r>
            <w:r>
              <w:rPr>
                <w:rFonts w:ascii="Times New Roman" w:hAnsi="Times New Roman" w:cs="Times New Roman"/>
                <w:sz w:val="24"/>
                <w:szCs w:val="24"/>
              </w:rPr>
              <w:t>环境管理制度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项目建成后，必须确保污染处理设施长期、稳定、有效地运行，不得擅自拆除或者闲置环保设备。要建立岗位责任制、制定操作规程、建立管理台帐，对油罐的运行情况进行日常记录。协同有关环境保护主管部门组织落实“三同时”，参与有关方案的审定及竣工验收。</w:t>
            </w:r>
          </w:p>
          <w:p>
            <w:pPr>
              <w:pStyle w:val="13"/>
              <w:ind w:firstLine="480" w:firstLineChars="200"/>
              <w:rPr>
                <w:rFonts w:ascii="Times New Roman" w:hAnsi="Times New Roman" w:cs="Times New Roman"/>
                <w:sz w:val="24"/>
                <w:szCs w:val="24"/>
              </w:rPr>
            </w:pPr>
            <w:r>
              <w:rPr>
                <w:rFonts w:hint="eastAsia" w:hAnsi="宋体" w:cs="宋体"/>
                <w:sz w:val="24"/>
                <w:szCs w:val="24"/>
              </w:rPr>
              <w:t>③</w:t>
            </w:r>
            <w:r>
              <w:rPr>
                <w:rFonts w:ascii="Times New Roman" w:hAnsi="Times New Roman" w:cs="Times New Roman"/>
                <w:sz w:val="24"/>
                <w:szCs w:val="24"/>
              </w:rPr>
              <w:t>环境保护责任制度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建设单位应建立环境保护责任制度，明确单位负责人和相关人员的环境保护责任，不断提高污染治理和环境管理水平，自觉接受监督检查。</w:t>
            </w:r>
          </w:p>
          <w:p>
            <w:pPr>
              <w:pStyle w:val="13"/>
              <w:ind w:firstLine="480" w:firstLineChars="200"/>
              <w:rPr>
                <w:rFonts w:ascii="Times New Roman" w:hAnsi="Times New Roman" w:cs="Times New Roman"/>
                <w:sz w:val="24"/>
                <w:szCs w:val="24"/>
              </w:rPr>
            </w:pPr>
            <w:r>
              <w:rPr>
                <w:rFonts w:hint="eastAsia" w:hAnsi="宋体" w:cs="宋体"/>
                <w:sz w:val="24"/>
                <w:szCs w:val="24"/>
              </w:rPr>
              <w:t>④</w:t>
            </w:r>
            <w:r>
              <w:rPr>
                <w:rFonts w:ascii="Times New Roman" w:hAnsi="Times New Roman" w:cs="Times New Roman"/>
                <w:sz w:val="24"/>
                <w:szCs w:val="24"/>
              </w:rPr>
              <w:t>环境监测制度</w:t>
            </w:r>
          </w:p>
          <w:p>
            <w:pPr>
              <w:pStyle w:val="13"/>
              <w:ind w:firstLine="480" w:firstLineChars="200"/>
              <w:rPr>
                <w:rFonts w:ascii="Times New Roman" w:hAnsi="Times New Roman" w:cs="Times New Roman"/>
                <w:sz w:val="24"/>
                <w:szCs w:val="24"/>
              </w:rPr>
            </w:pPr>
            <w:r>
              <w:rPr>
                <w:rFonts w:ascii="Times New Roman" w:hAnsi="Times New Roman" w:cs="Times New Roman"/>
                <w:sz w:val="24"/>
                <w:szCs w:val="24"/>
              </w:rPr>
              <w:t>建设单位应依法开展自行监测，制定监测计划，安装或使用监测设备应符合国家有关环境监测、计量认证规定和技术规范，保障数据合法有效，保证设备正常运行，妥善保存原始记录，建立准确完整的环境管理台账，安装在线监测设备应与环境保护部门联网。</w:t>
            </w:r>
          </w:p>
          <w:p>
            <w:pPr>
              <w:ind w:firstLine="482" w:firstLineChars="200"/>
              <w:rPr>
                <w:rFonts w:eastAsia="宋体"/>
                <w:b/>
                <w:sz w:val="24"/>
                <w:szCs w:val="24"/>
              </w:rPr>
            </w:pPr>
            <w:r>
              <w:rPr>
                <w:rFonts w:hint="eastAsia" w:eastAsia="宋体"/>
                <w:b/>
                <w:sz w:val="24"/>
                <w:szCs w:val="24"/>
              </w:rPr>
              <w:t>7.3.2</w:t>
            </w:r>
            <w:r>
              <w:rPr>
                <w:rFonts w:eastAsia="宋体"/>
                <w:b/>
                <w:sz w:val="24"/>
                <w:szCs w:val="24"/>
              </w:rPr>
              <w:t>环境监测计划</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环境监测是环境管理技术的重要支持，其主要职责是对本工程污染源和区域的环境质量进行监测，并对监测数据进行统计、分析，以便环境管理部门及时、准确地掌握本工程的污染动态和区域环境质量变化情况。</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根据本项目环境影响预测及分析结果，本次评价主要提出项目在生产运行阶段的污染源监测计划，监测内容包括大气环境、水环境及声环境，监测工作应委托具有检测资质的单位承担。项目环境监测计划详见表7-27：</w:t>
            </w:r>
          </w:p>
          <w:p>
            <w:pPr>
              <w:pStyle w:val="13"/>
              <w:ind w:firstLine="482" w:firstLineChars="200"/>
              <w:jc w:val="center"/>
              <w:rPr>
                <w:rFonts w:ascii="Times New Roman" w:hAnsi="Times New Roman" w:cs="Times New Roman"/>
                <w:b/>
                <w:sz w:val="24"/>
                <w:szCs w:val="24"/>
              </w:rPr>
            </w:pPr>
            <w:r>
              <w:rPr>
                <w:rFonts w:ascii="Times New Roman" w:hAnsi="Times New Roman" w:cs="Times New Roman"/>
                <w:b/>
                <w:sz w:val="24"/>
                <w:szCs w:val="24"/>
              </w:rPr>
              <w:t>表7-</w:t>
            </w:r>
            <w:r>
              <w:rPr>
                <w:rFonts w:hint="eastAsia"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运行期监测计划一览表</w:t>
            </w:r>
          </w:p>
          <w:tbl>
            <w:tblPr>
              <w:tblStyle w:val="110"/>
              <w:tblW w:w="9070"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48"/>
              <w:gridCol w:w="1780"/>
              <w:gridCol w:w="2517"/>
              <w:gridCol w:w="1134"/>
              <w:gridCol w:w="269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3" w:hRule="atLeast"/>
                <w:jc w:val="center"/>
              </w:trPr>
              <w:tc>
                <w:tcPr>
                  <w:tcW w:w="948"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分类</w:t>
                  </w:r>
                </w:p>
              </w:tc>
              <w:tc>
                <w:tcPr>
                  <w:tcW w:w="1780"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监测</w:t>
                  </w:r>
                  <w:r>
                    <w:rPr>
                      <w:rFonts w:hint="eastAsia" w:eastAsia="宋体" w:asciiTheme="minorHAnsi" w:hAnsiTheme="minorHAnsi" w:cstheme="minorBidi"/>
                      <w:sz w:val="21"/>
                      <w:szCs w:val="21"/>
                      <w:lang w:eastAsia="en-US"/>
                    </w:rPr>
                    <w:t>点位</w:t>
                  </w:r>
                </w:p>
              </w:tc>
              <w:tc>
                <w:tcPr>
                  <w:tcW w:w="2517"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监测</w:t>
                  </w:r>
                  <w:r>
                    <w:rPr>
                      <w:rFonts w:hint="eastAsia" w:eastAsia="宋体" w:asciiTheme="minorHAnsi" w:hAnsiTheme="minorHAnsi" w:cstheme="minorBidi"/>
                      <w:sz w:val="21"/>
                      <w:szCs w:val="21"/>
                      <w:lang w:eastAsia="en-US"/>
                    </w:rPr>
                    <w:t>指标</w:t>
                  </w:r>
                </w:p>
              </w:tc>
              <w:tc>
                <w:tcPr>
                  <w:tcW w:w="1134"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监测频率</w:t>
                  </w:r>
                </w:p>
              </w:tc>
              <w:tc>
                <w:tcPr>
                  <w:tcW w:w="2691" w:type="dxa"/>
                  <w:tcBorders>
                    <w:bottom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执行标准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948"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废气</w:t>
                  </w:r>
                </w:p>
              </w:tc>
              <w:tc>
                <w:tcPr>
                  <w:tcW w:w="1780"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厂界无组织排放监控点</w:t>
                  </w:r>
                </w:p>
              </w:tc>
              <w:tc>
                <w:tcPr>
                  <w:tcW w:w="2517"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非甲烷总烃</w:t>
                  </w:r>
                </w:p>
              </w:tc>
              <w:tc>
                <w:tcPr>
                  <w:tcW w:w="1134"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1次/年</w:t>
                  </w:r>
                </w:p>
              </w:tc>
              <w:tc>
                <w:tcPr>
                  <w:tcW w:w="2691" w:type="dxa"/>
                  <w:tcBorders>
                    <w:top w:val="single" w:color="auto" w:sz="12" w:space="0"/>
                  </w:tcBorders>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《大气污染物综合排放标准》（GB16297-1996）表2</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948"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废水</w:t>
                  </w:r>
                </w:p>
              </w:tc>
              <w:tc>
                <w:tcPr>
                  <w:tcW w:w="1780"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废水总排口</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流量、</w:t>
                  </w:r>
                  <w:r>
                    <w:rPr>
                      <w:rFonts w:eastAsia="宋体" w:asciiTheme="minorHAnsi" w:hAnsiTheme="minorHAnsi" w:cstheme="minorBidi"/>
                      <w:sz w:val="21"/>
                      <w:szCs w:val="21"/>
                      <w:lang w:eastAsia="en-US"/>
                    </w:rPr>
                    <w:t>COD、SS、NH</w:t>
                  </w:r>
                  <w:r>
                    <w:rPr>
                      <w:rFonts w:eastAsia="宋体" w:asciiTheme="minorHAnsi" w:hAnsiTheme="minorHAnsi" w:cstheme="minorBidi"/>
                      <w:sz w:val="21"/>
                      <w:szCs w:val="21"/>
                      <w:vertAlign w:val="subscript"/>
                      <w:lang w:eastAsia="en-US"/>
                    </w:rPr>
                    <w:t>3</w:t>
                  </w:r>
                  <w:r>
                    <w:rPr>
                      <w:rFonts w:eastAsia="宋体" w:asciiTheme="minorHAnsi" w:hAnsiTheme="minorHAnsi" w:cstheme="minorBidi"/>
                      <w:sz w:val="21"/>
                      <w:szCs w:val="21"/>
                      <w:lang w:eastAsia="en-US"/>
                    </w:rPr>
                    <w:t>-N、TP</w:t>
                  </w:r>
                  <w:r>
                    <w:rPr>
                      <w:rFonts w:hint="eastAsia" w:eastAsia="宋体" w:asciiTheme="minorHAnsi" w:hAnsiTheme="minorHAnsi" w:cstheme="minorBidi"/>
                      <w:sz w:val="21"/>
                      <w:szCs w:val="21"/>
                      <w:lang w:eastAsia="en-US"/>
                    </w:rPr>
                    <w:t>、TN</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1次/年</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污水处理厂接管标准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48"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噪声</w:t>
                  </w:r>
                </w:p>
              </w:tc>
              <w:tc>
                <w:tcPr>
                  <w:tcW w:w="1780"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四周厂界</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连续等效A 声级（Leq（A））</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1次/年</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《工业企业厂界环境噪声排放标准》（GB12348-2008）中</w:t>
                  </w:r>
                  <w:r>
                    <w:rPr>
                      <w:rFonts w:hint="eastAsia" w:eastAsia="宋体" w:asciiTheme="minorHAnsi" w:hAnsiTheme="minorHAnsi" w:cstheme="minorBidi"/>
                      <w:sz w:val="21"/>
                      <w:szCs w:val="21"/>
                      <w:lang w:eastAsia="en-US"/>
                    </w:rPr>
                    <w:t>2</w:t>
                  </w:r>
                  <w:r>
                    <w:rPr>
                      <w:rFonts w:eastAsia="宋体" w:asciiTheme="minorHAnsi" w:hAnsiTheme="minorHAnsi" w:cstheme="minorBidi"/>
                      <w:sz w:val="21"/>
                      <w:szCs w:val="21"/>
                      <w:lang w:eastAsia="en-US"/>
                    </w:rPr>
                    <w:t>类标准</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948" w:type="dxa"/>
                  <w:vMerge w:val="restart"/>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地下水*</w:t>
                  </w:r>
                </w:p>
              </w:tc>
              <w:tc>
                <w:tcPr>
                  <w:tcW w:w="1780" w:type="dxa"/>
                  <w:vMerge w:val="restart"/>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油罐区附近</w:t>
                  </w:r>
                  <w:r>
                    <w:rPr>
                      <w:rFonts w:hint="eastAsia" w:eastAsia="宋体" w:asciiTheme="minorHAnsi" w:hAnsiTheme="minorHAnsi" w:cstheme="minorBidi"/>
                      <w:sz w:val="21"/>
                      <w:szCs w:val="21"/>
                      <w:lang w:eastAsia="en-US"/>
                    </w:rPr>
                    <w:t>（地下水流向上游）</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油品</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周</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780"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VOCs（萘、苯、甲苯、乙苯、邻二甲苯、间（对）二甲苯、甲基叔丁基醚）</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季度</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《地下水质量标准》（GBT14848-2017）</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7"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780" w:type="dxa"/>
                  <w:vMerge w:val="restart"/>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油罐区附近</w:t>
                  </w:r>
                  <w:r>
                    <w:rPr>
                      <w:rFonts w:hint="eastAsia" w:eastAsia="宋体" w:asciiTheme="minorHAnsi" w:hAnsiTheme="minorHAnsi" w:cstheme="minorBidi"/>
                      <w:sz w:val="21"/>
                      <w:szCs w:val="21"/>
                      <w:lang w:eastAsia="en-US"/>
                    </w:rPr>
                    <w:t>（地下水流向下游）</w:t>
                  </w: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油品</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周</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定性判断</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1780" w:type="dxa"/>
                  <w:vMerge w:val="continue"/>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p>
              </w:tc>
              <w:tc>
                <w:tcPr>
                  <w:tcW w:w="2517"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VOCs（萘、苯、甲苯、乙苯、邻二甲苯、间（对）二甲苯、甲基叔丁基醚）</w:t>
                  </w:r>
                </w:p>
              </w:tc>
              <w:tc>
                <w:tcPr>
                  <w:tcW w:w="1134"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eastAsia="宋体" w:asciiTheme="minorHAnsi" w:hAnsiTheme="minorHAnsi" w:cstheme="minorBidi"/>
                      <w:sz w:val="21"/>
                      <w:szCs w:val="21"/>
                      <w:lang w:eastAsia="en-US"/>
                    </w:rPr>
                    <w:t>1次/</w:t>
                  </w:r>
                  <w:r>
                    <w:rPr>
                      <w:rFonts w:hint="eastAsia" w:eastAsia="宋体" w:asciiTheme="minorHAnsi" w:hAnsiTheme="minorHAnsi" w:cstheme="minorBidi"/>
                      <w:sz w:val="21"/>
                      <w:szCs w:val="21"/>
                      <w:lang w:eastAsia="en-US"/>
                    </w:rPr>
                    <w:t>季度</w:t>
                  </w:r>
                </w:p>
              </w:tc>
              <w:tc>
                <w:tcPr>
                  <w:tcW w:w="2691" w:type="dxa"/>
                  <w:vAlign w:val="center"/>
                </w:tcPr>
                <w:p>
                  <w:pPr>
                    <w:widowControl w:val="0"/>
                    <w:tabs>
                      <w:tab w:val="center" w:pos="4153"/>
                      <w:tab w:val="right" w:pos="8306"/>
                    </w:tabs>
                    <w:autoSpaceDE w:val="0"/>
                    <w:autoSpaceDN w:val="0"/>
                    <w:snapToGrid w:val="0"/>
                    <w:spacing w:line="240" w:lineRule="auto"/>
                    <w:jc w:val="center"/>
                    <w:rPr>
                      <w:rFonts w:eastAsia="宋体" w:asciiTheme="minorHAnsi" w:hAnsiTheme="minorHAnsi" w:cstheme="minorBidi"/>
                      <w:sz w:val="21"/>
                      <w:szCs w:val="21"/>
                      <w:lang w:eastAsia="en-US"/>
                    </w:rPr>
                  </w:pPr>
                  <w:r>
                    <w:rPr>
                      <w:rFonts w:hint="eastAsia" w:eastAsia="宋体" w:asciiTheme="minorHAnsi" w:hAnsiTheme="minorHAnsi" w:cstheme="minorBidi"/>
                      <w:sz w:val="21"/>
                      <w:szCs w:val="21"/>
                      <w:lang w:eastAsia="en-US"/>
                    </w:rPr>
                    <w:t>《地下水质量标准》（GBT14848-2017）</w:t>
                  </w:r>
                </w:p>
              </w:tc>
            </w:tr>
          </w:tbl>
          <w:p>
            <w:pPr>
              <w:pStyle w:val="13"/>
              <w:ind w:firstLine="420" w:firstLineChars="200"/>
              <w:rPr>
                <w:rFonts w:ascii="Times New Roman" w:hAnsi="Times New Roman" w:cs="Times New Roman"/>
                <w:szCs w:val="24"/>
              </w:rPr>
            </w:pPr>
            <w:r>
              <w:rPr>
                <w:rFonts w:hint="eastAsia" w:ascii="Times New Roman" w:hAnsi="Times New Roman" w:cs="Times New Roman"/>
                <w:szCs w:val="24"/>
              </w:rPr>
              <w:t>注：地下水监测应符合《加油站地下水污染防治技术指南（试行）》（2017年3月）要求：项目不在地下水饮用水水源保护区的补给径流区，但距离较近，本环评从严要求设两个地下水监测井，一个设在埋地油罐区地下水流向的下游，在保证安全的情况下，尽可能靠近埋地油罐。另一个设在埋地油罐区地下水流向的上游，作为背景监测井。在保证安全的情况下，尽可能靠近埋地油罐。监测井设置的要求可参照《场地环境监测技术导则》（HJ/T 25.2）执行。</w:t>
            </w:r>
          </w:p>
          <w:p>
            <w:pPr>
              <w:pStyle w:val="13"/>
              <w:ind w:firstLine="420" w:firstLineChars="200"/>
              <w:rPr>
                <w:rFonts w:ascii="Times New Roman" w:hAnsi="Times New Roman" w:cs="Times New Roman"/>
                <w:sz w:val="24"/>
                <w:szCs w:val="24"/>
              </w:rPr>
            </w:pPr>
            <w:r>
              <w:rPr>
                <w:rFonts w:hint="eastAsia" w:ascii="Times New Roman" w:hAnsi="Times New Roman" w:cs="Times New Roman"/>
                <w:szCs w:val="24"/>
              </w:rPr>
              <w:t>地下水监测分为定性监测、定量监测：定性监测可通过肉眼观察、使用测油膏、便携式气体监测仪等其他快速方法判定地下水监测井中是否存在油品污染，定性监测每周一次。若定性监测发现地下水存在油品污染，立即启动定量监测；若定性监测未发现问题，则每季度监测1 次，具体监测指标见表。</w:t>
            </w:r>
          </w:p>
        </w:tc>
      </w:tr>
    </w:tbl>
    <w:p>
      <w:pPr>
        <w:outlineLvl w:val="0"/>
        <w:rPr>
          <w:rFonts w:eastAsia="宋体"/>
          <w:b/>
        </w:rPr>
      </w:pPr>
      <w:r>
        <w:rPr>
          <w:rFonts w:eastAsia="宋体"/>
          <w:b/>
        </w:rPr>
        <w:t>八、建设项目拟采取的防治措施及预期治理效果</w:t>
      </w:r>
    </w:p>
    <w:tbl>
      <w:tblPr>
        <w:tblStyle w:val="2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64"/>
        <w:gridCol w:w="1265"/>
        <w:gridCol w:w="2729"/>
        <w:gridCol w:w="3116"/>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tcBorders>
              <w:tl2br w:val="single" w:color="auto" w:sz="4" w:space="0"/>
            </w:tcBorders>
            <w:vAlign w:val="center"/>
          </w:tcPr>
          <w:p>
            <w:pPr>
              <w:snapToGrid w:val="0"/>
              <w:spacing w:line="240" w:lineRule="auto"/>
              <w:ind w:left="72" w:firstLine="135"/>
              <w:jc w:val="right"/>
              <w:rPr>
                <w:rFonts w:eastAsia="宋体"/>
                <w:sz w:val="21"/>
                <w:szCs w:val="21"/>
              </w:rPr>
            </w:pPr>
            <w:r>
              <w:rPr>
                <w:rFonts w:eastAsia="宋体"/>
                <w:sz w:val="21"/>
                <w:szCs w:val="21"/>
              </w:rPr>
              <w:t>内容</w:t>
            </w:r>
          </w:p>
          <w:p>
            <w:pPr>
              <w:snapToGrid w:val="0"/>
              <w:spacing w:line="240" w:lineRule="auto"/>
              <w:rPr>
                <w:rFonts w:eastAsia="宋体"/>
                <w:sz w:val="21"/>
                <w:szCs w:val="21"/>
              </w:rPr>
            </w:pPr>
            <w:r>
              <w:rPr>
                <w:rFonts w:eastAsia="宋体"/>
                <w:sz w:val="21"/>
                <w:szCs w:val="21"/>
              </w:rPr>
              <w:t>类型</w:t>
            </w:r>
          </w:p>
        </w:tc>
        <w:tc>
          <w:tcPr>
            <w:tcW w:w="1264" w:type="dxa"/>
            <w:vAlign w:val="center"/>
          </w:tcPr>
          <w:p>
            <w:pPr>
              <w:snapToGrid w:val="0"/>
              <w:spacing w:line="240" w:lineRule="auto"/>
              <w:ind w:firstLine="135"/>
              <w:jc w:val="center"/>
              <w:rPr>
                <w:rFonts w:eastAsia="宋体"/>
                <w:sz w:val="21"/>
                <w:szCs w:val="21"/>
              </w:rPr>
            </w:pPr>
            <w:r>
              <w:rPr>
                <w:rFonts w:eastAsia="宋体"/>
                <w:sz w:val="21"/>
                <w:szCs w:val="21"/>
              </w:rPr>
              <w:t>排放源      (编号)</w:t>
            </w:r>
          </w:p>
        </w:tc>
        <w:tc>
          <w:tcPr>
            <w:tcW w:w="1265" w:type="dxa"/>
            <w:vAlign w:val="center"/>
          </w:tcPr>
          <w:p>
            <w:pPr>
              <w:snapToGrid w:val="0"/>
              <w:spacing w:line="240" w:lineRule="auto"/>
              <w:jc w:val="center"/>
              <w:rPr>
                <w:rFonts w:eastAsia="宋体"/>
                <w:sz w:val="21"/>
                <w:szCs w:val="21"/>
              </w:rPr>
            </w:pPr>
            <w:r>
              <w:rPr>
                <w:rFonts w:eastAsia="宋体"/>
                <w:sz w:val="21"/>
                <w:szCs w:val="21"/>
              </w:rPr>
              <w:t>污染物</w:t>
            </w:r>
          </w:p>
          <w:p>
            <w:pPr>
              <w:snapToGrid w:val="0"/>
              <w:spacing w:line="240" w:lineRule="auto"/>
              <w:jc w:val="center"/>
              <w:rPr>
                <w:rFonts w:eastAsia="宋体"/>
                <w:sz w:val="21"/>
                <w:szCs w:val="21"/>
              </w:rPr>
            </w:pPr>
            <w:r>
              <w:rPr>
                <w:rFonts w:eastAsia="宋体"/>
                <w:sz w:val="21"/>
                <w:szCs w:val="21"/>
              </w:rPr>
              <w:t>名称</w:t>
            </w:r>
          </w:p>
        </w:tc>
        <w:tc>
          <w:tcPr>
            <w:tcW w:w="2729" w:type="dxa"/>
            <w:vAlign w:val="center"/>
          </w:tcPr>
          <w:p>
            <w:pPr>
              <w:snapToGrid w:val="0"/>
              <w:spacing w:line="240" w:lineRule="auto"/>
              <w:ind w:firstLine="135"/>
              <w:jc w:val="center"/>
              <w:rPr>
                <w:rFonts w:eastAsia="宋体"/>
                <w:sz w:val="21"/>
                <w:szCs w:val="21"/>
              </w:rPr>
            </w:pPr>
            <w:r>
              <w:rPr>
                <w:rFonts w:eastAsia="宋体"/>
                <w:sz w:val="21"/>
                <w:szCs w:val="21"/>
              </w:rPr>
              <w:t>防治措施</w:t>
            </w:r>
          </w:p>
        </w:tc>
        <w:tc>
          <w:tcPr>
            <w:tcW w:w="3125" w:type="dxa"/>
            <w:gridSpan w:val="2"/>
            <w:vAlign w:val="center"/>
          </w:tcPr>
          <w:p>
            <w:pPr>
              <w:snapToGrid w:val="0"/>
              <w:spacing w:line="240" w:lineRule="auto"/>
              <w:ind w:firstLine="135"/>
              <w:jc w:val="center"/>
              <w:rPr>
                <w:rFonts w:eastAsia="宋体"/>
                <w:sz w:val="21"/>
                <w:szCs w:val="21"/>
              </w:rPr>
            </w:pPr>
            <w:r>
              <w:rPr>
                <w:rFonts w:eastAsia="宋体"/>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大气</w:t>
            </w:r>
          </w:p>
          <w:p>
            <w:pPr>
              <w:snapToGrid w:val="0"/>
              <w:spacing w:line="240" w:lineRule="auto"/>
              <w:ind w:left="72"/>
              <w:jc w:val="center"/>
              <w:rPr>
                <w:rFonts w:eastAsia="宋体"/>
                <w:sz w:val="21"/>
                <w:szCs w:val="21"/>
              </w:rPr>
            </w:pPr>
            <w:r>
              <w:rPr>
                <w:rFonts w:eastAsia="宋体"/>
                <w:sz w:val="21"/>
                <w:szCs w:val="21"/>
              </w:rPr>
              <w:t>污染物</w:t>
            </w: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接卸油、储罐、加油机等</w:t>
            </w:r>
          </w:p>
        </w:tc>
        <w:tc>
          <w:tcPr>
            <w:tcW w:w="1265" w:type="dxa"/>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非甲烷总烃</w:t>
            </w:r>
          </w:p>
        </w:tc>
        <w:tc>
          <w:tcPr>
            <w:tcW w:w="2729"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埋地储油罐；采取密闭卸油；安装二级</w:t>
            </w:r>
            <w:r>
              <w:rPr>
                <w:rFonts w:eastAsia="宋体"/>
                <w:sz w:val="21"/>
                <w:szCs w:val="21"/>
              </w:rPr>
              <w:t>油气回收系统</w:t>
            </w:r>
          </w:p>
        </w:tc>
        <w:tc>
          <w:tcPr>
            <w:tcW w:w="3125" w:type="dxa"/>
            <w:gridSpan w:val="2"/>
            <w:tcBorders>
              <w:bottom w:val="single" w:color="auto" w:sz="4" w:space="0"/>
            </w:tcBorders>
            <w:vAlign w:val="center"/>
          </w:tcPr>
          <w:p>
            <w:pPr>
              <w:snapToGrid w:val="0"/>
              <w:spacing w:line="240" w:lineRule="auto"/>
              <w:jc w:val="center"/>
              <w:rPr>
                <w:sz w:val="21"/>
                <w:szCs w:val="21"/>
              </w:rP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77" w:type="dxa"/>
            <w:vMerge w:val="continue"/>
            <w:tcBorders>
              <w:bottom w:val="single" w:color="auto" w:sz="4" w:space="0"/>
            </w:tcBorders>
            <w:vAlign w:val="center"/>
          </w:tcPr>
          <w:p>
            <w:pPr>
              <w:snapToGrid w:val="0"/>
              <w:spacing w:line="240" w:lineRule="auto"/>
              <w:ind w:left="72"/>
              <w:jc w:val="center"/>
              <w:rPr>
                <w:rFonts w:eastAsia="宋体"/>
                <w:sz w:val="21"/>
                <w:szCs w:val="21"/>
              </w:rPr>
            </w:pPr>
          </w:p>
        </w:tc>
        <w:tc>
          <w:tcPr>
            <w:tcW w:w="1264"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进站加油机动车</w:t>
            </w:r>
          </w:p>
        </w:tc>
        <w:tc>
          <w:tcPr>
            <w:tcW w:w="1265" w:type="dxa"/>
            <w:tcBorders>
              <w:bottom w:val="single" w:color="auto" w:sz="4" w:space="0"/>
            </w:tcBorders>
            <w:vAlign w:val="center"/>
          </w:tcPr>
          <w:p>
            <w:pPr>
              <w:widowControl w:val="0"/>
              <w:tabs>
                <w:tab w:val="center" w:pos="4153"/>
                <w:tab w:val="right" w:pos="8306"/>
              </w:tabs>
              <w:snapToGrid w:val="0"/>
              <w:spacing w:line="240" w:lineRule="auto"/>
              <w:jc w:val="center"/>
              <w:rPr>
                <w:rFonts w:eastAsia="宋体"/>
                <w:sz w:val="21"/>
                <w:szCs w:val="21"/>
              </w:rPr>
            </w:pPr>
            <w:r>
              <w:rPr>
                <w:rFonts w:hint="eastAsia" w:eastAsia="宋体"/>
                <w:sz w:val="21"/>
                <w:szCs w:val="21"/>
              </w:rPr>
              <w:t>机动车尾气（CO、THC、</w:t>
            </w:r>
            <w:r>
              <w:rPr>
                <w:rFonts w:eastAsia="宋体"/>
                <w:sz w:val="21"/>
                <w:szCs w:val="21"/>
              </w:rPr>
              <w:t>NOx</w:t>
            </w:r>
            <w:r>
              <w:rPr>
                <w:rFonts w:hint="eastAsia" w:eastAsia="宋体"/>
                <w:sz w:val="21"/>
                <w:szCs w:val="21"/>
              </w:rPr>
              <w:t>）</w:t>
            </w:r>
          </w:p>
        </w:tc>
        <w:tc>
          <w:tcPr>
            <w:tcW w:w="2729" w:type="dxa"/>
            <w:tcBorders>
              <w:bottom w:val="single" w:color="auto" w:sz="4" w:space="0"/>
            </w:tcBorders>
            <w:vAlign w:val="center"/>
          </w:tcPr>
          <w:p>
            <w:pPr>
              <w:snapToGrid w:val="0"/>
              <w:spacing w:line="240" w:lineRule="auto"/>
              <w:jc w:val="center"/>
              <w:rPr>
                <w:rFonts w:eastAsia="宋体"/>
                <w:sz w:val="21"/>
                <w:szCs w:val="21"/>
              </w:rPr>
            </w:pPr>
            <w:r>
              <w:rPr>
                <w:rFonts w:hint="eastAsia" w:eastAsia="宋体"/>
                <w:sz w:val="21"/>
                <w:szCs w:val="21"/>
              </w:rPr>
              <w:t>绿化，空气流通</w:t>
            </w:r>
          </w:p>
        </w:tc>
        <w:tc>
          <w:tcPr>
            <w:tcW w:w="3125" w:type="dxa"/>
            <w:gridSpan w:val="2"/>
            <w:tcBorders>
              <w:bottom w:val="single" w:color="auto" w:sz="4" w:space="0"/>
            </w:tcBorders>
            <w:vAlign w:val="center"/>
          </w:tcPr>
          <w:p>
            <w:pPr>
              <w:snapToGrid w:val="0"/>
              <w:spacing w:line="240" w:lineRule="auto"/>
              <w:jc w:val="center"/>
              <w:rPr>
                <w:rFonts w:eastAsia="宋体"/>
                <w:kern w:val="0"/>
                <w:sz w:val="21"/>
                <w:szCs w:val="21"/>
              </w:rPr>
            </w:pPr>
            <w:r>
              <w:rPr>
                <w:rFonts w:hint="eastAsia" w:eastAsia="宋体"/>
                <w:kern w:val="0"/>
                <w:sz w:val="21"/>
                <w:szCs w:val="21"/>
              </w:rPr>
              <w:t>对周围影响较小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水污染物</w:t>
            </w:r>
          </w:p>
        </w:tc>
        <w:tc>
          <w:tcPr>
            <w:tcW w:w="1264" w:type="dxa"/>
            <w:vAlign w:val="center"/>
          </w:tcPr>
          <w:p>
            <w:pPr>
              <w:snapToGrid w:val="0"/>
              <w:spacing w:line="240" w:lineRule="auto"/>
              <w:jc w:val="center"/>
              <w:rPr>
                <w:rFonts w:eastAsia="宋体"/>
                <w:sz w:val="21"/>
                <w:szCs w:val="21"/>
              </w:rPr>
            </w:pPr>
            <w:r>
              <w:rPr>
                <w:rFonts w:eastAsia="宋体"/>
                <w:sz w:val="21"/>
                <w:szCs w:val="21"/>
              </w:rPr>
              <w:t>生活污水</w:t>
            </w:r>
          </w:p>
        </w:tc>
        <w:tc>
          <w:tcPr>
            <w:tcW w:w="1265" w:type="dxa"/>
            <w:vAlign w:val="center"/>
          </w:tcPr>
          <w:p>
            <w:pPr>
              <w:snapToGrid w:val="0"/>
              <w:spacing w:line="240" w:lineRule="auto"/>
              <w:jc w:val="center"/>
              <w:rPr>
                <w:rFonts w:eastAsia="宋体"/>
                <w:sz w:val="21"/>
                <w:szCs w:val="21"/>
              </w:rPr>
            </w:pPr>
            <w:r>
              <w:rPr>
                <w:rFonts w:eastAsia="宋体"/>
                <w:sz w:val="21"/>
                <w:szCs w:val="21"/>
              </w:rPr>
              <w:t>COD、SS、NH</w:t>
            </w:r>
            <w:r>
              <w:rPr>
                <w:rFonts w:eastAsia="宋体"/>
                <w:sz w:val="21"/>
                <w:szCs w:val="21"/>
                <w:vertAlign w:val="subscript"/>
              </w:rPr>
              <w:t>3</w:t>
            </w:r>
            <w:r>
              <w:rPr>
                <w:rFonts w:eastAsia="宋体"/>
                <w:sz w:val="21"/>
                <w:szCs w:val="21"/>
              </w:rPr>
              <w:t>-N、TP</w:t>
            </w:r>
            <w:r>
              <w:rPr>
                <w:rFonts w:hint="eastAsia" w:eastAsia="宋体"/>
                <w:sz w:val="21"/>
                <w:szCs w:val="21"/>
              </w:rPr>
              <w:t>、TN</w:t>
            </w:r>
          </w:p>
        </w:tc>
        <w:tc>
          <w:tcPr>
            <w:tcW w:w="2729" w:type="dxa"/>
            <w:vAlign w:val="center"/>
          </w:tcPr>
          <w:p>
            <w:pPr>
              <w:snapToGrid w:val="0"/>
              <w:spacing w:line="240" w:lineRule="auto"/>
              <w:jc w:val="center"/>
              <w:rPr>
                <w:rFonts w:eastAsia="宋体"/>
                <w:sz w:val="21"/>
                <w:szCs w:val="21"/>
              </w:rPr>
            </w:pPr>
            <w:r>
              <w:rPr>
                <w:rFonts w:eastAsia="宋体"/>
                <w:sz w:val="21"/>
                <w:szCs w:val="21"/>
              </w:rPr>
              <w:t>化粪池</w:t>
            </w:r>
            <w:r>
              <w:rPr>
                <w:rFonts w:hint="eastAsia" w:eastAsia="宋体"/>
                <w:sz w:val="21"/>
                <w:szCs w:val="21"/>
              </w:rPr>
              <w:t>预处理；</w:t>
            </w:r>
          </w:p>
        </w:tc>
        <w:tc>
          <w:tcPr>
            <w:tcW w:w="3125" w:type="dxa"/>
            <w:gridSpan w:val="2"/>
            <w:vAlign w:val="center"/>
          </w:tcPr>
          <w:p>
            <w:pPr>
              <w:snapToGrid w:val="0"/>
              <w:spacing w:line="240" w:lineRule="auto"/>
              <w:jc w:val="center"/>
              <w:rPr>
                <w:rFonts w:eastAsia="宋体"/>
                <w:sz w:val="21"/>
                <w:szCs w:val="21"/>
              </w:rPr>
            </w:pPr>
            <w:r>
              <w:rPr>
                <w:rFonts w:hint="eastAsia" w:eastAsia="宋体"/>
                <w:sz w:val="21"/>
                <w:szCs w:val="21"/>
              </w:rPr>
              <w:t>满足沭阳县城东污水处理厂接管标准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地下水</w:t>
            </w:r>
          </w:p>
        </w:tc>
        <w:tc>
          <w:tcPr>
            <w:tcW w:w="1265" w:type="dxa"/>
            <w:vAlign w:val="center"/>
          </w:tcPr>
          <w:p>
            <w:pPr>
              <w:snapToGrid w:val="0"/>
              <w:spacing w:line="240" w:lineRule="auto"/>
              <w:jc w:val="center"/>
              <w:rPr>
                <w:rFonts w:eastAsia="宋体"/>
                <w:sz w:val="21"/>
                <w:szCs w:val="21"/>
              </w:rPr>
            </w:pPr>
            <w:r>
              <w:rPr>
                <w:rFonts w:eastAsia="宋体"/>
                <w:sz w:val="21"/>
                <w:szCs w:val="21"/>
              </w:rPr>
              <w:t>石油类</w:t>
            </w:r>
            <w:r>
              <w:rPr>
                <w:rFonts w:hint="eastAsia" w:eastAsia="宋体"/>
                <w:sz w:val="21"/>
                <w:szCs w:val="21"/>
              </w:rPr>
              <w:t>、VOCs</w:t>
            </w:r>
          </w:p>
        </w:tc>
        <w:tc>
          <w:tcPr>
            <w:tcW w:w="2729" w:type="dxa"/>
            <w:vAlign w:val="center"/>
          </w:tcPr>
          <w:p>
            <w:pPr>
              <w:snapToGrid w:val="0"/>
              <w:spacing w:line="240" w:lineRule="auto"/>
              <w:jc w:val="center"/>
              <w:rPr>
                <w:rFonts w:eastAsia="宋体"/>
                <w:sz w:val="21"/>
                <w:szCs w:val="21"/>
              </w:rPr>
            </w:pPr>
            <w:r>
              <w:rPr>
                <w:rFonts w:eastAsia="宋体"/>
                <w:sz w:val="21"/>
                <w:szCs w:val="21"/>
              </w:rPr>
              <w:t>双层储油罐、埋地管道均采用环氧煤沥青加强级防腐处理；设置防漏罐池，把油罐放置在防漏罐池内，双层油罐、防渗罐池的渗漏检测采用在线监测系统</w:t>
            </w:r>
          </w:p>
        </w:tc>
        <w:tc>
          <w:tcPr>
            <w:tcW w:w="3125" w:type="dxa"/>
            <w:gridSpan w:val="2"/>
            <w:vAlign w:val="center"/>
          </w:tcPr>
          <w:p>
            <w:pPr>
              <w:snapToGrid w:val="0"/>
              <w:spacing w:line="240" w:lineRule="auto"/>
              <w:jc w:val="center"/>
              <w:rPr>
                <w:rFonts w:eastAsia="宋体"/>
                <w:sz w:val="21"/>
                <w:szCs w:val="21"/>
              </w:rPr>
            </w:pPr>
            <w:r>
              <w:rPr>
                <w:rFonts w:eastAsia="宋体"/>
                <w:sz w:val="21"/>
                <w:szCs w:val="21"/>
              </w:rPr>
              <w:t>满足环保要求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588" w:hRule="atLeast"/>
          <w:jc w:val="center"/>
        </w:trPr>
        <w:tc>
          <w:tcPr>
            <w:tcW w:w="1277" w:type="dxa"/>
            <w:vMerge w:val="restart"/>
            <w:vAlign w:val="center"/>
          </w:tcPr>
          <w:p>
            <w:pPr>
              <w:snapToGrid w:val="0"/>
              <w:spacing w:line="240" w:lineRule="auto"/>
              <w:ind w:left="72"/>
              <w:jc w:val="center"/>
              <w:rPr>
                <w:rFonts w:eastAsia="宋体"/>
                <w:sz w:val="21"/>
                <w:szCs w:val="21"/>
              </w:rPr>
            </w:pPr>
            <w:r>
              <w:rPr>
                <w:rFonts w:eastAsia="宋体"/>
                <w:sz w:val="21"/>
                <w:szCs w:val="21"/>
              </w:rPr>
              <w:t>固体废物</w:t>
            </w:r>
          </w:p>
        </w:tc>
        <w:tc>
          <w:tcPr>
            <w:tcW w:w="1264" w:type="dxa"/>
            <w:vAlign w:val="center"/>
          </w:tcPr>
          <w:p>
            <w:pPr>
              <w:snapToGrid w:val="0"/>
              <w:spacing w:line="240" w:lineRule="auto"/>
              <w:jc w:val="center"/>
              <w:rPr>
                <w:rFonts w:eastAsia="宋体"/>
                <w:sz w:val="21"/>
                <w:szCs w:val="21"/>
              </w:rPr>
            </w:pPr>
            <w:r>
              <w:rPr>
                <w:rFonts w:eastAsia="宋体"/>
                <w:sz w:val="21"/>
                <w:szCs w:val="21"/>
              </w:rPr>
              <w:t>生活垃圾</w:t>
            </w:r>
          </w:p>
        </w:tc>
        <w:tc>
          <w:tcPr>
            <w:tcW w:w="1265" w:type="dxa"/>
            <w:tcBorders>
              <w:bottom w:val="single" w:color="auto" w:sz="4" w:space="0"/>
            </w:tcBorders>
            <w:vAlign w:val="center"/>
          </w:tcPr>
          <w:p>
            <w:pPr>
              <w:pStyle w:val="2"/>
              <w:spacing w:line="240" w:lineRule="auto"/>
              <w:ind w:left="-4" w:leftChars="-7" w:hanging="16" w:hangingChars="8"/>
              <w:jc w:val="center"/>
              <w:rPr>
                <w:rFonts w:eastAsia="宋体"/>
                <w:sz w:val="21"/>
                <w:szCs w:val="21"/>
              </w:rPr>
            </w:pPr>
            <w:r>
              <w:rPr>
                <w:rFonts w:eastAsia="宋体"/>
                <w:sz w:val="21"/>
                <w:szCs w:val="21"/>
              </w:rPr>
              <w:t>可燃物、可堆腐物</w:t>
            </w:r>
          </w:p>
        </w:tc>
        <w:tc>
          <w:tcPr>
            <w:tcW w:w="2729" w:type="dxa"/>
            <w:vAlign w:val="center"/>
          </w:tcPr>
          <w:p>
            <w:pPr>
              <w:snapToGrid w:val="0"/>
              <w:spacing w:line="240" w:lineRule="auto"/>
              <w:ind w:left="72" w:firstLine="135"/>
              <w:jc w:val="center"/>
              <w:rPr>
                <w:rFonts w:eastAsia="宋体"/>
                <w:sz w:val="21"/>
                <w:szCs w:val="21"/>
              </w:rPr>
            </w:pPr>
            <w:r>
              <w:rPr>
                <w:rFonts w:hint="eastAsia" w:eastAsia="宋体"/>
                <w:sz w:val="21"/>
                <w:szCs w:val="21"/>
              </w:rPr>
              <w:t>环卫部门定期清运</w:t>
            </w:r>
          </w:p>
        </w:tc>
        <w:tc>
          <w:tcPr>
            <w:tcW w:w="3116" w:type="dxa"/>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77" w:type="dxa"/>
            <w:vMerge w:val="continue"/>
            <w:vAlign w:val="center"/>
          </w:tcPr>
          <w:p>
            <w:pPr>
              <w:snapToGrid w:val="0"/>
              <w:spacing w:line="240" w:lineRule="auto"/>
              <w:ind w:left="72"/>
              <w:jc w:val="center"/>
              <w:rPr>
                <w:rFonts w:eastAsia="宋体"/>
                <w:sz w:val="21"/>
                <w:szCs w:val="21"/>
              </w:rPr>
            </w:pPr>
          </w:p>
        </w:tc>
        <w:tc>
          <w:tcPr>
            <w:tcW w:w="1264" w:type="dxa"/>
            <w:vAlign w:val="center"/>
          </w:tcPr>
          <w:p>
            <w:pPr>
              <w:snapToGrid w:val="0"/>
              <w:spacing w:line="240" w:lineRule="auto"/>
              <w:jc w:val="center"/>
              <w:rPr>
                <w:rFonts w:eastAsia="宋体"/>
                <w:sz w:val="21"/>
                <w:szCs w:val="21"/>
              </w:rPr>
            </w:pPr>
            <w:r>
              <w:rPr>
                <w:rFonts w:eastAsia="宋体"/>
                <w:sz w:val="21"/>
                <w:szCs w:val="21"/>
              </w:rPr>
              <w:t>废油、油渣</w:t>
            </w:r>
          </w:p>
        </w:tc>
        <w:tc>
          <w:tcPr>
            <w:tcW w:w="1265" w:type="dxa"/>
            <w:vAlign w:val="center"/>
          </w:tcPr>
          <w:p>
            <w:pPr>
              <w:pStyle w:val="2"/>
              <w:spacing w:line="240" w:lineRule="auto"/>
              <w:ind w:left="-4" w:leftChars="-7" w:hanging="16" w:hangingChars="8"/>
              <w:jc w:val="center"/>
              <w:rPr>
                <w:rFonts w:eastAsia="宋体"/>
                <w:sz w:val="21"/>
                <w:szCs w:val="21"/>
              </w:rPr>
            </w:pPr>
            <w:r>
              <w:rPr>
                <w:rFonts w:eastAsia="宋体"/>
                <w:sz w:val="21"/>
                <w:szCs w:val="21"/>
              </w:rPr>
              <w:t>废矿物油</w:t>
            </w:r>
          </w:p>
        </w:tc>
        <w:tc>
          <w:tcPr>
            <w:tcW w:w="2729" w:type="dxa"/>
            <w:vAlign w:val="center"/>
          </w:tcPr>
          <w:p>
            <w:pPr>
              <w:snapToGrid w:val="0"/>
              <w:spacing w:line="240" w:lineRule="auto"/>
              <w:jc w:val="center"/>
              <w:rPr>
                <w:rFonts w:eastAsia="宋体"/>
                <w:sz w:val="21"/>
                <w:szCs w:val="21"/>
              </w:rPr>
            </w:pPr>
            <w:r>
              <w:rPr>
                <w:rFonts w:eastAsia="宋体"/>
                <w:sz w:val="21"/>
                <w:szCs w:val="21"/>
              </w:rPr>
              <w:t>委托有资质单位处置</w:t>
            </w:r>
          </w:p>
        </w:tc>
        <w:tc>
          <w:tcPr>
            <w:tcW w:w="3125" w:type="dxa"/>
            <w:gridSpan w:val="2"/>
            <w:vAlign w:val="center"/>
          </w:tcPr>
          <w:p>
            <w:pPr>
              <w:snapToGrid w:val="0"/>
              <w:spacing w:line="240" w:lineRule="auto"/>
              <w:jc w:val="center"/>
              <w:rPr>
                <w:rFonts w:eastAsia="宋体"/>
                <w:sz w:val="21"/>
                <w:szCs w:val="21"/>
              </w:rPr>
            </w:pPr>
            <w:r>
              <w:rPr>
                <w:rFonts w:eastAsia="宋体"/>
                <w:sz w:val="21"/>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ind w:firstLine="210" w:firstLineChars="100"/>
              <w:jc w:val="center"/>
              <w:rPr>
                <w:rFonts w:eastAsia="宋体"/>
                <w:sz w:val="21"/>
                <w:szCs w:val="21"/>
              </w:rPr>
            </w:pPr>
            <w:r>
              <w:rPr>
                <w:rFonts w:eastAsia="宋体"/>
                <w:sz w:val="21"/>
                <w:szCs w:val="21"/>
              </w:rPr>
              <w:t>噪声</w:t>
            </w:r>
          </w:p>
        </w:tc>
        <w:tc>
          <w:tcPr>
            <w:tcW w:w="2529" w:type="dxa"/>
            <w:gridSpan w:val="2"/>
            <w:vAlign w:val="center"/>
          </w:tcPr>
          <w:p>
            <w:pPr>
              <w:snapToGrid w:val="0"/>
              <w:spacing w:line="240" w:lineRule="auto"/>
              <w:jc w:val="center"/>
              <w:rPr>
                <w:rFonts w:eastAsia="宋体"/>
                <w:sz w:val="21"/>
                <w:szCs w:val="21"/>
              </w:rPr>
            </w:pPr>
            <w:r>
              <w:rPr>
                <w:rFonts w:eastAsia="宋体"/>
                <w:sz w:val="21"/>
                <w:szCs w:val="21"/>
              </w:rPr>
              <w:t>加油机、各类泵体及往来加油的车辆等，噪声源强约为</w:t>
            </w:r>
            <w:r>
              <w:rPr>
                <w:rFonts w:hint="eastAsia" w:eastAsia="宋体"/>
                <w:sz w:val="21"/>
                <w:szCs w:val="21"/>
              </w:rPr>
              <w:t>60-75</w:t>
            </w:r>
            <w:r>
              <w:rPr>
                <w:rFonts w:eastAsia="宋体"/>
                <w:sz w:val="21"/>
                <w:szCs w:val="21"/>
              </w:rPr>
              <w:t>dB(A)</w:t>
            </w:r>
          </w:p>
        </w:tc>
        <w:tc>
          <w:tcPr>
            <w:tcW w:w="2729" w:type="dxa"/>
            <w:vAlign w:val="center"/>
          </w:tcPr>
          <w:p>
            <w:pPr>
              <w:snapToGrid w:val="0"/>
              <w:spacing w:line="240" w:lineRule="auto"/>
              <w:jc w:val="center"/>
              <w:rPr>
                <w:rFonts w:eastAsia="宋体"/>
                <w:sz w:val="21"/>
                <w:szCs w:val="21"/>
              </w:rPr>
            </w:pPr>
            <w:r>
              <w:rPr>
                <w:rFonts w:eastAsia="宋体"/>
                <w:bCs/>
                <w:sz w:val="21"/>
                <w:szCs w:val="21"/>
              </w:rPr>
              <w:t>降噪、隔声、设备合理布局</w:t>
            </w:r>
          </w:p>
        </w:tc>
        <w:tc>
          <w:tcPr>
            <w:tcW w:w="3125" w:type="dxa"/>
            <w:gridSpan w:val="2"/>
            <w:vAlign w:val="center"/>
          </w:tcPr>
          <w:p>
            <w:pPr>
              <w:snapToGrid w:val="0"/>
              <w:spacing w:line="240" w:lineRule="auto"/>
              <w:jc w:val="center"/>
              <w:rPr>
                <w:rFonts w:eastAsia="宋体"/>
                <w:sz w:val="21"/>
                <w:szCs w:val="21"/>
              </w:rPr>
            </w:pPr>
            <w:r>
              <w:rPr>
                <w:rFonts w:eastAsia="宋体"/>
                <w:sz w:val="21"/>
                <w:szCs w:val="21"/>
              </w:rPr>
              <w:t>厂界噪声满足《工业企业厂界环境噪声排放标准》（GB12348-2008）中的</w:t>
            </w:r>
            <w:r>
              <w:rPr>
                <w:rFonts w:hint="eastAsia" w:eastAsia="宋体"/>
                <w:sz w:val="21"/>
                <w:szCs w:val="21"/>
              </w:rPr>
              <w:t>2类</w:t>
            </w:r>
            <w:r>
              <w:rPr>
                <w:rFonts w:eastAsia="宋体"/>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77" w:type="dxa"/>
            <w:vAlign w:val="center"/>
          </w:tcPr>
          <w:p>
            <w:pPr>
              <w:snapToGrid w:val="0"/>
              <w:spacing w:line="240" w:lineRule="auto"/>
              <w:jc w:val="center"/>
              <w:rPr>
                <w:rFonts w:eastAsia="宋体"/>
                <w:sz w:val="21"/>
                <w:szCs w:val="21"/>
              </w:rPr>
            </w:pPr>
            <w:r>
              <w:rPr>
                <w:rFonts w:eastAsia="宋体"/>
                <w:sz w:val="21"/>
                <w:szCs w:val="21"/>
              </w:rPr>
              <w:t>电离辐射和电磁辐射</w:t>
            </w:r>
          </w:p>
        </w:tc>
        <w:tc>
          <w:tcPr>
            <w:tcW w:w="8383" w:type="dxa"/>
            <w:gridSpan w:val="5"/>
            <w:tcBorders>
              <w:bottom w:val="single" w:color="auto" w:sz="4" w:space="0"/>
            </w:tcBorders>
            <w:vAlign w:val="center"/>
          </w:tcPr>
          <w:p>
            <w:pPr>
              <w:snapToGrid w:val="0"/>
              <w:spacing w:line="240" w:lineRule="auto"/>
              <w:jc w:val="center"/>
              <w:rPr>
                <w:rFonts w:eastAsia="宋体"/>
                <w:sz w:val="21"/>
                <w:szCs w:val="21"/>
              </w:rPr>
            </w:pPr>
            <w:r>
              <w:rPr>
                <w:rFonts w:eastAsia="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277" w:type="dxa"/>
            <w:vAlign w:val="center"/>
          </w:tcPr>
          <w:p>
            <w:pPr>
              <w:snapToGrid w:val="0"/>
              <w:spacing w:line="240" w:lineRule="auto"/>
              <w:ind w:left="72" w:firstLine="135"/>
              <w:jc w:val="center"/>
              <w:rPr>
                <w:rFonts w:eastAsia="宋体"/>
                <w:sz w:val="21"/>
                <w:szCs w:val="21"/>
              </w:rPr>
            </w:pPr>
            <w:r>
              <w:rPr>
                <w:rFonts w:eastAsia="宋体"/>
                <w:sz w:val="21"/>
                <w:szCs w:val="21"/>
              </w:rPr>
              <w:t>其他</w:t>
            </w:r>
          </w:p>
        </w:tc>
        <w:tc>
          <w:tcPr>
            <w:tcW w:w="8383" w:type="dxa"/>
            <w:gridSpan w:val="5"/>
            <w:vAlign w:val="center"/>
          </w:tcPr>
          <w:p>
            <w:pPr>
              <w:snapToGrid w:val="0"/>
              <w:spacing w:line="240" w:lineRule="auto"/>
              <w:jc w:val="center"/>
              <w:rPr>
                <w:rFonts w:eastAsia="宋体"/>
                <w:sz w:val="21"/>
                <w:szCs w:val="21"/>
              </w:rPr>
            </w:pPr>
            <w:r>
              <w:rPr>
                <w:rFonts w:eastAsia="宋体"/>
                <w:sz w:val="21"/>
                <w:szCs w:val="21"/>
              </w:rPr>
              <w:t>在厂区内特别是罐区及注油机附近设监控器，并制订严格的油泄漏及火灾的防范措施。按消防、加油站防火规范要求进行设计、建设和管理，并采取防火、防爆、防雷、抗震等措施，防范生产事故的发生，降低环境风险发生的机率和保护周围的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9660" w:type="dxa"/>
            <w:gridSpan w:val="6"/>
          </w:tcPr>
          <w:p>
            <w:pPr>
              <w:snapToGrid w:val="0"/>
              <w:spacing w:line="240" w:lineRule="auto"/>
              <w:jc w:val="both"/>
              <w:rPr>
                <w:rFonts w:eastAsia="宋体"/>
                <w:sz w:val="21"/>
                <w:szCs w:val="21"/>
              </w:rPr>
            </w:pPr>
            <w:r>
              <w:rPr>
                <w:rFonts w:eastAsia="宋体"/>
                <w:sz w:val="21"/>
                <w:szCs w:val="21"/>
              </w:rPr>
              <w:t>生态保护措施及预期效果：</w:t>
            </w:r>
          </w:p>
          <w:p>
            <w:pPr>
              <w:pStyle w:val="25"/>
              <w:ind w:firstLine="280"/>
              <w:rPr>
                <w:sz w:val="21"/>
                <w:szCs w:val="21"/>
              </w:rPr>
            </w:pPr>
          </w:p>
          <w:p>
            <w:pPr>
              <w:snapToGrid w:val="0"/>
              <w:ind w:firstLine="420" w:firstLineChars="200"/>
              <w:jc w:val="both"/>
              <w:rPr>
                <w:rFonts w:eastAsia="宋体"/>
                <w:sz w:val="21"/>
                <w:szCs w:val="21"/>
              </w:rPr>
            </w:pPr>
            <w:r>
              <w:rPr>
                <w:rFonts w:eastAsia="宋体"/>
                <w:sz w:val="21"/>
                <w:szCs w:val="21"/>
              </w:rPr>
              <w:t>本项目要加强绿化并要对绿化妥善管理，这不仅能美化环境，同时也能吸附无组织排放的废气和净化空气都有益处</w:t>
            </w:r>
            <w:r>
              <w:rPr>
                <w:rFonts w:hint="eastAsia" w:eastAsia="宋体"/>
                <w:sz w:val="21"/>
                <w:szCs w:val="21"/>
              </w:rPr>
              <w:t>.</w:t>
            </w:r>
          </w:p>
        </w:tc>
      </w:tr>
    </w:tbl>
    <w:p>
      <w:pPr>
        <w:spacing w:line="340" w:lineRule="exact"/>
        <w:ind w:firstLine="435"/>
        <w:jc w:val="center"/>
        <w:rPr>
          <w:rFonts w:eastAsia="宋体"/>
          <w:sz w:val="30"/>
        </w:rPr>
        <w:sectPr>
          <w:pgSz w:w="11907" w:h="16840"/>
          <w:pgMar w:top="1418" w:right="1418" w:bottom="1418" w:left="1418" w:header="851" w:footer="992" w:gutter="0"/>
          <w:cols w:space="720" w:num="1"/>
          <w:docGrid w:linePitch="387" w:charSpace="-5735"/>
        </w:sectPr>
      </w:pPr>
    </w:p>
    <w:p>
      <w:pPr>
        <w:outlineLvl w:val="0"/>
        <w:rPr>
          <w:rFonts w:eastAsia="宋体"/>
          <w:b/>
          <w:szCs w:val="28"/>
        </w:rPr>
      </w:pPr>
      <w:r>
        <w:rPr>
          <w:rFonts w:eastAsia="宋体"/>
          <w:b/>
          <w:szCs w:val="28"/>
        </w:rPr>
        <w:t>九、结论与建议</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3076" w:hRule="atLeast"/>
          <w:jc w:val="center"/>
        </w:trPr>
        <w:tc>
          <w:tcPr>
            <w:tcW w:w="9071" w:type="dxa"/>
          </w:tcPr>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7" w:hRule="atLeast"/>
                <w:jc w:val="center"/>
              </w:trPr>
              <w:tc>
                <w:tcPr>
                  <w:tcW w:w="9157" w:type="dxa"/>
                  <w:vAlign w:val="center"/>
                </w:tcPr>
                <w:p>
                  <w:pPr>
                    <w:autoSpaceDE w:val="0"/>
                    <w:autoSpaceDN w:val="0"/>
                    <w:adjustRightInd w:val="0"/>
                    <w:spacing w:line="480" w:lineRule="exact"/>
                    <w:ind w:firstLine="413" w:firstLineChars="147"/>
                    <w:rPr>
                      <w:rFonts w:eastAsia="宋体"/>
                      <w:b/>
                      <w:bCs/>
                      <w:szCs w:val="28"/>
                    </w:rPr>
                  </w:pPr>
                  <w:r>
                    <w:rPr>
                      <w:rFonts w:hint="eastAsia" w:eastAsia="宋体"/>
                      <w:b/>
                      <w:bCs/>
                      <w:szCs w:val="28"/>
                    </w:rPr>
                    <w:t>9.1</w:t>
                  </w:r>
                  <w:r>
                    <w:rPr>
                      <w:rFonts w:eastAsia="宋体"/>
                      <w:b/>
                      <w:bCs/>
                      <w:szCs w:val="28"/>
                    </w:rPr>
                    <w:t>结论</w:t>
                  </w:r>
                </w:p>
                <w:p>
                  <w:pPr>
                    <w:ind w:left="-28" w:firstLine="591"/>
                    <w:rPr>
                      <w:rFonts w:eastAsia="宋体"/>
                      <w:sz w:val="24"/>
                      <w:szCs w:val="24"/>
                    </w:rPr>
                  </w:pPr>
                  <w:r>
                    <w:rPr>
                      <w:rFonts w:hint="eastAsia" w:eastAsia="宋体"/>
                      <w:sz w:val="24"/>
                      <w:szCs w:val="24"/>
                    </w:rPr>
                    <w:t>中国石油天然气股份有限公司江苏宿迁销售分公司投资建设的沭阳台州路加油站项目（运营单位：中国石油天然气股份有限公司江苏宿迁沭阳台州路加油站）</w:t>
                  </w:r>
                  <w:r>
                    <w:rPr>
                      <w:rFonts w:eastAsia="宋体"/>
                      <w:sz w:val="24"/>
                      <w:szCs w:val="24"/>
                    </w:rPr>
                    <w:t>位于</w:t>
                  </w:r>
                  <w:r>
                    <w:rPr>
                      <w:rFonts w:hint="eastAsia" w:eastAsia="宋体"/>
                      <w:sz w:val="24"/>
                      <w:szCs w:val="24"/>
                    </w:rPr>
                    <w:t>宿迁市沭阳县台州路东侧与京沪高速交叉口南侧处</w:t>
                  </w:r>
                  <w:r>
                    <w:rPr>
                      <w:rFonts w:eastAsia="宋体"/>
                      <w:sz w:val="24"/>
                      <w:szCs w:val="24"/>
                    </w:rPr>
                    <w:t>，主要从事成品油（汽油、柴油）的零售业务，</w:t>
                  </w:r>
                  <w:r>
                    <w:rPr>
                      <w:rFonts w:hint="eastAsia" w:eastAsia="宋体"/>
                      <w:sz w:val="24"/>
                      <w:szCs w:val="24"/>
                    </w:rPr>
                    <w:t>汽油年销售量10000吨，柴油年销售量1500吨。项目</w:t>
                  </w:r>
                  <w:r>
                    <w:rPr>
                      <w:rFonts w:eastAsia="宋体"/>
                      <w:sz w:val="24"/>
                      <w:szCs w:val="24"/>
                    </w:rPr>
                    <w:t>占地面积</w:t>
                  </w:r>
                  <w:r>
                    <w:rPr>
                      <w:rFonts w:hint="eastAsia" w:eastAsia="宋体"/>
                      <w:sz w:val="24"/>
                      <w:szCs w:val="24"/>
                    </w:rPr>
                    <w:t>2086.6</w:t>
                  </w:r>
                  <w:r>
                    <w:rPr>
                      <w:rFonts w:eastAsia="宋体"/>
                      <w:sz w:val="24"/>
                      <w:szCs w:val="24"/>
                    </w:rPr>
                    <w:t>m</w:t>
                  </w:r>
                  <w:r>
                    <w:rPr>
                      <w:rFonts w:eastAsia="宋体"/>
                      <w:sz w:val="24"/>
                      <w:szCs w:val="24"/>
                      <w:vertAlign w:val="superscript"/>
                    </w:rPr>
                    <w:t>2</w:t>
                  </w:r>
                  <w:r>
                    <w:rPr>
                      <w:rFonts w:hint="eastAsia" w:eastAsia="宋体"/>
                      <w:sz w:val="24"/>
                      <w:szCs w:val="24"/>
                    </w:rPr>
                    <w:t>，</w:t>
                  </w:r>
                  <w:r>
                    <w:rPr>
                      <w:rFonts w:eastAsia="宋体"/>
                      <w:sz w:val="24"/>
                      <w:szCs w:val="24"/>
                    </w:rPr>
                    <w:t>设</w:t>
                  </w:r>
                  <w:r>
                    <w:rPr>
                      <w:rFonts w:hint="eastAsia" w:eastAsia="宋体"/>
                      <w:sz w:val="24"/>
                      <w:szCs w:val="24"/>
                    </w:rPr>
                    <w:t>4</w:t>
                  </w:r>
                  <w:r>
                    <w:rPr>
                      <w:rFonts w:eastAsia="宋体"/>
                      <w:sz w:val="24"/>
                      <w:szCs w:val="24"/>
                    </w:rPr>
                    <w:t>座30 m</w:t>
                  </w:r>
                  <w:r>
                    <w:rPr>
                      <w:rFonts w:eastAsia="宋体"/>
                      <w:sz w:val="24"/>
                      <w:szCs w:val="24"/>
                      <w:vertAlign w:val="superscript"/>
                    </w:rPr>
                    <w:t>3</w:t>
                  </w:r>
                  <w:r>
                    <w:rPr>
                      <w:rFonts w:eastAsia="宋体"/>
                      <w:sz w:val="24"/>
                      <w:szCs w:val="24"/>
                    </w:rPr>
                    <w:t xml:space="preserve"> /座汽油贮油罐，</w:t>
                  </w:r>
                  <w:r>
                    <w:rPr>
                      <w:rFonts w:hint="eastAsia" w:eastAsia="宋体"/>
                      <w:sz w:val="24"/>
                      <w:szCs w:val="24"/>
                    </w:rPr>
                    <w:t>1</w:t>
                  </w:r>
                  <w:r>
                    <w:rPr>
                      <w:rFonts w:eastAsia="宋体"/>
                      <w:sz w:val="24"/>
                      <w:szCs w:val="24"/>
                    </w:rPr>
                    <w:t>座30 m</w:t>
                  </w:r>
                  <w:r>
                    <w:rPr>
                      <w:rFonts w:eastAsia="宋体"/>
                      <w:sz w:val="24"/>
                      <w:szCs w:val="24"/>
                      <w:vertAlign w:val="superscript"/>
                    </w:rPr>
                    <w:t>3</w:t>
                  </w:r>
                  <w:r>
                    <w:rPr>
                      <w:rFonts w:eastAsia="宋体"/>
                      <w:sz w:val="24"/>
                      <w:szCs w:val="24"/>
                    </w:rPr>
                    <w:t xml:space="preserve"> /座柴油贮油罐；</w:t>
                  </w:r>
                  <w:r>
                    <w:rPr>
                      <w:rFonts w:hint="eastAsia" w:eastAsia="宋体"/>
                      <w:sz w:val="24"/>
                      <w:szCs w:val="24"/>
                    </w:rPr>
                    <w:t>4</w:t>
                  </w:r>
                  <w:r>
                    <w:rPr>
                      <w:rFonts w:eastAsia="宋体"/>
                      <w:sz w:val="24"/>
                      <w:szCs w:val="24"/>
                    </w:rPr>
                    <w:t>台加油</w:t>
                  </w:r>
                  <w:r>
                    <w:rPr>
                      <w:rFonts w:hint="eastAsia" w:eastAsia="宋体"/>
                      <w:sz w:val="24"/>
                      <w:szCs w:val="24"/>
                    </w:rPr>
                    <w:t>机</w:t>
                  </w:r>
                  <w:r>
                    <w:rPr>
                      <w:rFonts w:eastAsia="宋体"/>
                      <w:sz w:val="24"/>
                      <w:szCs w:val="24"/>
                    </w:rPr>
                    <w:t>。</w:t>
                  </w:r>
                </w:p>
                <w:p>
                  <w:pPr>
                    <w:tabs>
                      <w:tab w:val="left" w:pos="360"/>
                    </w:tabs>
                    <w:snapToGrid w:val="0"/>
                    <w:ind w:firstLine="523" w:firstLineChars="218"/>
                    <w:rPr>
                      <w:rFonts w:eastAsia="宋体"/>
                      <w:sz w:val="24"/>
                      <w:szCs w:val="24"/>
                    </w:rPr>
                  </w:pPr>
                  <w:r>
                    <w:rPr>
                      <w:rFonts w:eastAsia="宋体"/>
                      <w:sz w:val="24"/>
                      <w:szCs w:val="24"/>
                    </w:rPr>
                    <w:t>通过</w:t>
                  </w:r>
                  <w:r>
                    <w:rPr>
                      <w:rFonts w:hint="eastAsia" w:eastAsia="宋体"/>
                      <w:sz w:val="24"/>
                      <w:szCs w:val="24"/>
                    </w:rPr>
                    <w:t>对</w:t>
                  </w:r>
                  <w:r>
                    <w:rPr>
                      <w:rFonts w:eastAsia="宋体"/>
                      <w:sz w:val="24"/>
                      <w:szCs w:val="24"/>
                    </w:rPr>
                    <w:t>项目所在区域环境质量现状的评价以及对项目运营期进行的环境影响分析，本评价得出以下结论：</w:t>
                  </w:r>
                </w:p>
                <w:p>
                  <w:pPr>
                    <w:ind w:firstLine="482" w:firstLineChars="200"/>
                    <w:rPr>
                      <w:rFonts w:eastAsia="宋体"/>
                      <w:b/>
                      <w:sz w:val="24"/>
                      <w:szCs w:val="24"/>
                    </w:rPr>
                  </w:pPr>
                  <w:r>
                    <w:rPr>
                      <w:rFonts w:eastAsia="宋体"/>
                      <w:b/>
                      <w:sz w:val="24"/>
                      <w:szCs w:val="24"/>
                    </w:rPr>
                    <w:t>1、项目符合国家产业和江苏省产业政策</w:t>
                  </w:r>
                </w:p>
                <w:p>
                  <w:pPr>
                    <w:ind w:left="-28" w:firstLine="591"/>
                    <w:rPr>
                      <w:rFonts w:eastAsia="宋体"/>
                      <w:sz w:val="24"/>
                      <w:szCs w:val="24"/>
                    </w:rPr>
                  </w:pPr>
                  <w:r>
                    <w:rPr>
                      <w:rFonts w:eastAsia="宋体"/>
                      <w:sz w:val="24"/>
                      <w:szCs w:val="24"/>
                    </w:rPr>
                    <w:t>本项目属机动车燃料零售业，根据《产业结构调整指导目录（201</w:t>
                  </w:r>
                  <w:r>
                    <w:rPr>
                      <w:rFonts w:hint="eastAsia" w:eastAsia="宋体"/>
                      <w:sz w:val="24"/>
                      <w:szCs w:val="24"/>
                    </w:rPr>
                    <w:t>9</w:t>
                  </w:r>
                  <w:r>
                    <w:rPr>
                      <w:rFonts w:eastAsia="宋体"/>
                      <w:sz w:val="24"/>
                      <w:szCs w:val="24"/>
                    </w:rPr>
                    <w:t xml:space="preserve"> 年本）》和《江苏省工业和信息产业结构调整指导目录（2012年本）》（苏政办发[2013]9号）及关于修改《江苏省工业和信息产业结构调整指导目录（2012年本）》部分条目的通知（苏经信产业〔2013〕183号），项目不属于</w:t>
                  </w:r>
                  <w:r>
                    <w:rPr>
                      <w:rFonts w:hint="eastAsia" w:eastAsia="宋体"/>
                      <w:sz w:val="24"/>
                      <w:szCs w:val="24"/>
                    </w:rPr>
                    <w:t>上述文件</w:t>
                  </w:r>
                  <w:r>
                    <w:rPr>
                      <w:rFonts w:eastAsia="宋体"/>
                      <w:sz w:val="24"/>
                      <w:szCs w:val="24"/>
                    </w:rPr>
                    <w:t>中的鼓励类、限制类和淘汰类，属一般允许类，且项目的建设可以充分发挥地方资源优势，发展地方经济，不仅具有良好的经济效益，还具有良好的社会效益，符合地方经济发展的要求。因此，项目建设在产业政策方面是可行的。</w:t>
                  </w:r>
                </w:p>
                <w:p>
                  <w:pPr>
                    <w:ind w:firstLine="480" w:firstLineChars="200"/>
                    <w:rPr>
                      <w:rFonts w:eastAsia="宋体"/>
                      <w:sz w:val="24"/>
                      <w:szCs w:val="24"/>
                    </w:rPr>
                  </w:pPr>
                  <w:r>
                    <w:rPr>
                      <w:rFonts w:eastAsia="宋体"/>
                      <w:bCs/>
                      <w:sz w:val="24"/>
                      <w:szCs w:val="24"/>
                    </w:rPr>
                    <w:t>根据</w:t>
                  </w:r>
                  <w:r>
                    <w:rPr>
                      <w:rFonts w:eastAsia="宋体"/>
                      <w:kern w:val="0"/>
                      <w:sz w:val="24"/>
                      <w:szCs w:val="24"/>
                    </w:rPr>
                    <w:t>《省政府关于印发江苏省生态空间管控区域规划的通知》</w:t>
                  </w:r>
                  <w:r>
                    <w:rPr>
                      <w:rFonts w:eastAsiaTheme="minorEastAsia"/>
                      <w:bCs/>
                      <w:kern w:val="0"/>
                      <w:sz w:val="24"/>
                      <w:szCs w:val="24"/>
                    </w:rPr>
                    <w:t>（苏政发〔2020〕1号）</w:t>
                  </w:r>
                  <w:r>
                    <w:rPr>
                      <w:rFonts w:eastAsia="宋体"/>
                      <w:bCs/>
                      <w:sz w:val="24"/>
                      <w:szCs w:val="24"/>
                    </w:rPr>
                    <w:t>，本项目不在</w:t>
                  </w:r>
                  <w:r>
                    <w:rPr>
                      <w:rFonts w:hint="eastAsia" w:eastAsiaTheme="minorEastAsia"/>
                      <w:bCs/>
                      <w:kern w:val="0"/>
                      <w:sz w:val="24"/>
                      <w:szCs w:val="24"/>
                    </w:rPr>
                    <w:t>不在该生态空间管控区域范围内。因此，本项目的建设不违背《省政府关于印发江苏省生态空间管控区域规划的通知》（苏政发〔</w:t>
                  </w:r>
                  <w:r>
                    <w:rPr>
                      <w:rFonts w:eastAsiaTheme="minorEastAsia"/>
                      <w:bCs/>
                      <w:kern w:val="0"/>
                      <w:sz w:val="24"/>
                      <w:szCs w:val="24"/>
                    </w:rPr>
                    <w:t>2020〕1号）</w:t>
                  </w:r>
                  <w:r>
                    <w:rPr>
                      <w:rFonts w:hint="eastAsia" w:eastAsiaTheme="minorEastAsia"/>
                      <w:bCs/>
                      <w:kern w:val="0"/>
                      <w:sz w:val="24"/>
                      <w:szCs w:val="24"/>
                    </w:rPr>
                    <w:t>及《省政府关于印发江苏省国家级生态保护红线规划的通知》（苏政发〔</w:t>
                  </w:r>
                  <w:r>
                    <w:rPr>
                      <w:rFonts w:eastAsiaTheme="minorEastAsia"/>
                      <w:bCs/>
                      <w:kern w:val="0"/>
                      <w:sz w:val="24"/>
                      <w:szCs w:val="24"/>
                    </w:rPr>
                    <w:t>2018〕74号）</w:t>
                  </w:r>
                  <w:r>
                    <w:rPr>
                      <w:rFonts w:hint="eastAsia" w:eastAsiaTheme="minorEastAsia"/>
                      <w:bCs/>
                      <w:kern w:val="0"/>
                      <w:sz w:val="24"/>
                      <w:szCs w:val="24"/>
                    </w:rPr>
                    <w:t>生态红线相关要求。</w:t>
                  </w:r>
                </w:p>
                <w:p>
                  <w:pPr>
                    <w:adjustRightInd w:val="0"/>
                    <w:snapToGrid w:val="0"/>
                    <w:ind w:firstLine="354" w:firstLineChars="147"/>
                    <w:rPr>
                      <w:rFonts w:eastAsia="宋体"/>
                      <w:b/>
                      <w:sz w:val="24"/>
                      <w:szCs w:val="24"/>
                    </w:rPr>
                  </w:pPr>
                  <w:r>
                    <w:rPr>
                      <w:rFonts w:eastAsia="宋体"/>
                      <w:b/>
                      <w:sz w:val="24"/>
                      <w:szCs w:val="24"/>
                    </w:rPr>
                    <w:t>2、环境质量现状分析</w:t>
                  </w:r>
                </w:p>
                <w:p>
                  <w:pPr>
                    <w:adjustRightInd w:val="0"/>
                    <w:snapToGrid w:val="0"/>
                    <w:ind w:firstLine="480" w:firstLineChars="200"/>
                    <w:rPr>
                      <w:rFonts w:eastAsia="宋体"/>
                      <w:bCs/>
                      <w:sz w:val="24"/>
                      <w:szCs w:val="24"/>
                    </w:rPr>
                  </w:pPr>
                  <w:r>
                    <w:rPr>
                      <w:rFonts w:hint="eastAsia" w:eastAsia="宋体"/>
                      <w:bCs/>
                      <w:sz w:val="24"/>
                      <w:szCs w:val="24"/>
                    </w:rPr>
                    <w:t>2019年，宿迁市环境空气PM</w:t>
                  </w:r>
                  <w:r>
                    <w:rPr>
                      <w:rFonts w:hint="eastAsia" w:eastAsia="宋体"/>
                      <w:bCs/>
                      <w:sz w:val="24"/>
                      <w:szCs w:val="24"/>
                      <w:vertAlign w:val="subscript"/>
                    </w:rPr>
                    <w:t>2.5</w:t>
                  </w:r>
                  <w:r>
                    <w:rPr>
                      <w:rFonts w:hint="eastAsia" w:eastAsia="宋体"/>
                      <w:bCs/>
                      <w:sz w:val="24"/>
                      <w:szCs w:val="24"/>
                    </w:rPr>
                    <w:t>、NO</w:t>
                  </w:r>
                  <w:r>
                    <w:rPr>
                      <w:rFonts w:hint="eastAsia" w:eastAsia="宋体"/>
                      <w:bCs/>
                      <w:sz w:val="24"/>
                      <w:szCs w:val="24"/>
                      <w:vertAlign w:val="subscript"/>
                    </w:rPr>
                    <w:t>2</w:t>
                  </w:r>
                  <w:r>
                    <w:rPr>
                      <w:rFonts w:hint="eastAsia" w:eastAsia="宋体"/>
                      <w:bCs/>
                      <w:sz w:val="24"/>
                      <w:szCs w:val="24"/>
                    </w:rPr>
                    <w:t>、SO</w:t>
                  </w:r>
                  <w:r>
                    <w:rPr>
                      <w:rFonts w:hint="eastAsia" w:eastAsia="宋体"/>
                      <w:bCs/>
                      <w:sz w:val="24"/>
                      <w:szCs w:val="24"/>
                      <w:vertAlign w:val="subscript"/>
                    </w:rPr>
                    <w:t>2</w:t>
                  </w:r>
                  <w:r>
                    <w:rPr>
                      <w:rFonts w:hint="eastAsia" w:eastAsia="宋体"/>
                      <w:bCs/>
                      <w:sz w:val="24"/>
                      <w:szCs w:val="24"/>
                    </w:rPr>
                    <w:t>、CO指标浓度同比下降，其中PM2.5浓度47</w:t>
                  </w:r>
                  <w:r>
                    <w:rPr>
                      <w:rFonts w:eastAsia="宋体"/>
                      <w:bCs/>
                      <w:sz w:val="24"/>
                      <w:szCs w:val="24"/>
                    </w:rPr>
                    <w:t>μ</w:t>
                  </w:r>
                  <w:r>
                    <w:rPr>
                      <w:rFonts w:hint="eastAsia" w:eastAsia="宋体"/>
                      <w:bCs/>
                      <w:sz w:val="24"/>
                      <w:szCs w:val="24"/>
                    </w:rPr>
                    <w:t>g/m</w:t>
                  </w:r>
                  <w:r>
                    <w:rPr>
                      <w:rFonts w:hint="eastAsia" w:eastAsia="宋体"/>
                      <w:bCs/>
                      <w:sz w:val="24"/>
                      <w:szCs w:val="24"/>
                      <w:vertAlign w:val="superscript"/>
                    </w:rPr>
                    <w:t>3</w:t>
                  </w:r>
                  <w:r>
                    <w:rPr>
                      <w:rFonts w:hint="eastAsia" w:eastAsia="宋体"/>
                      <w:bCs/>
                      <w:sz w:val="24"/>
                      <w:szCs w:val="24"/>
                    </w:rPr>
                    <w:t>（扣除沙尘天气），同比下降9.6%，超额完成年度目标；SO</w:t>
                  </w:r>
                  <w:r>
                    <w:rPr>
                      <w:rFonts w:hint="eastAsia" w:eastAsia="宋体"/>
                      <w:bCs/>
                      <w:sz w:val="24"/>
                      <w:szCs w:val="24"/>
                      <w:vertAlign w:val="subscript"/>
                    </w:rPr>
                    <w:t>2</w:t>
                  </w:r>
                  <w:r>
                    <w:rPr>
                      <w:rFonts w:hint="eastAsia" w:eastAsia="宋体"/>
                      <w:bCs/>
                      <w:sz w:val="24"/>
                      <w:szCs w:val="24"/>
                    </w:rPr>
                    <w:t>、NO</w:t>
                  </w:r>
                  <w:r>
                    <w:rPr>
                      <w:rFonts w:hint="eastAsia" w:eastAsia="宋体"/>
                      <w:bCs/>
                      <w:sz w:val="24"/>
                      <w:szCs w:val="24"/>
                      <w:vertAlign w:val="subscript"/>
                    </w:rPr>
                    <w:t>2</w:t>
                  </w:r>
                  <w:r>
                    <w:rPr>
                      <w:rFonts w:hint="eastAsia" w:eastAsia="宋体"/>
                      <w:bCs/>
                      <w:sz w:val="24"/>
                      <w:szCs w:val="24"/>
                    </w:rPr>
                    <w:t>、CO浓度分别为8</w:t>
                  </w:r>
                  <w:r>
                    <w:rPr>
                      <w:rFonts w:eastAsia="宋体"/>
                      <w:bCs/>
                      <w:sz w:val="24"/>
                      <w:szCs w:val="24"/>
                    </w:rPr>
                    <w:t>μ</w:t>
                  </w:r>
                  <w:r>
                    <w:rPr>
                      <w:rFonts w:hint="eastAsia" w:eastAsia="宋体"/>
                      <w:bCs/>
                      <w:sz w:val="24"/>
                      <w:szCs w:val="24"/>
                    </w:rPr>
                    <w:t>g/m</w:t>
                  </w:r>
                  <w:r>
                    <w:rPr>
                      <w:rFonts w:hint="eastAsia" w:eastAsia="宋体"/>
                      <w:bCs/>
                      <w:sz w:val="24"/>
                      <w:szCs w:val="24"/>
                      <w:vertAlign w:val="superscript"/>
                    </w:rPr>
                    <w:t>3</w:t>
                  </w:r>
                  <w:r>
                    <w:rPr>
                      <w:rFonts w:hint="eastAsia" w:eastAsia="宋体"/>
                      <w:bCs/>
                      <w:sz w:val="24"/>
                      <w:szCs w:val="24"/>
                    </w:rPr>
                    <w:t>、29</w:t>
                  </w:r>
                  <w:r>
                    <w:rPr>
                      <w:rFonts w:eastAsia="宋体"/>
                      <w:bCs/>
                      <w:sz w:val="24"/>
                      <w:szCs w:val="24"/>
                    </w:rPr>
                    <w:t>μ</w:t>
                  </w:r>
                  <w:r>
                    <w:rPr>
                      <w:rFonts w:hint="eastAsia" w:eastAsia="宋体"/>
                      <w:bCs/>
                      <w:sz w:val="24"/>
                      <w:szCs w:val="24"/>
                    </w:rPr>
                    <w:t>g/m</w:t>
                  </w:r>
                  <w:r>
                    <w:rPr>
                      <w:rFonts w:hint="eastAsia" w:eastAsia="宋体"/>
                      <w:bCs/>
                      <w:sz w:val="24"/>
                      <w:szCs w:val="24"/>
                      <w:vertAlign w:val="superscript"/>
                    </w:rPr>
                    <w:t>3</w:t>
                  </w:r>
                  <w:r>
                    <w:rPr>
                      <w:rFonts w:hint="eastAsia" w:eastAsia="宋体"/>
                      <w:bCs/>
                      <w:sz w:val="24"/>
                      <w:szCs w:val="24"/>
                    </w:rPr>
                    <w:t>、1.2mg/m</w:t>
                  </w:r>
                  <w:r>
                    <w:rPr>
                      <w:rFonts w:hint="eastAsia" w:eastAsia="宋体"/>
                      <w:bCs/>
                      <w:sz w:val="24"/>
                      <w:szCs w:val="24"/>
                      <w:vertAlign w:val="superscript"/>
                    </w:rPr>
                    <w:t>3</w:t>
                  </w:r>
                  <w:r>
                    <w:rPr>
                      <w:rFonts w:hint="eastAsia" w:eastAsia="宋体"/>
                      <w:bCs/>
                      <w:sz w:val="24"/>
                      <w:szCs w:val="24"/>
                    </w:rPr>
                    <w:t>，降幅为20.0%、3.3%和14.3%。但PM</w:t>
                  </w:r>
                  <w:r>
                    <w:rPr>
                      <w:rFonts w:hint="eastAsia" w:eastAsia="宋体"/>
                      <w:bCs/>
                      <w:sz w:val="24"/>
                      <w:szCs w:val="24"/>
                      <w:vertAlign w:val="subscript"/>
                    </w:rPr>
                    <w:t>10</w:t>
                  </w:r>
                  <w:r>
                    <w:rPr>
                      <w:rFonts w:hint="eastAsia" w:eastAsia="宋体"/>
                      <w:bCs/>
                      <w:sz w:val="24"/>
                      <w:szCs w:val="24"/>
                    </w:rPr>
                    <w:t>、O</w:t>
                  </w:r>
                  <w:r>
                    <w:rPr>
                      <w:rFonts w:hint="eastAsia" w:eastAsia="宋体"/>
                      <w:bCs/>
                      <w:sz w:val="24"/>
                      <w:szCs w:val="24"/>
                      <w:vertAlign w:val="subscript"/>
                    </w:rPr>
                    <w:t>3</w:t>
                  </w:r>
                  <w:r>
                    <w:rPr>
                      <w:rFonts w:hint="eastAsia" w:eastAsia="宋体"/>
                      <w:bCs/>
                      <w:sz w:val="24"/>
                      <w:szCs w:val="24"/>
                    </w:rPr>
                    <w:t>两项指标浓度分别为78</w:t>
                  </w:r>
                  <w:r>
                    <w:rPr>
                      <w:rFonts w:eastAsia="宋体"/>
                      <w:bCs/>
                      <w:sz w:val="24"/>
                      <w:szCs w:val="24"/>
                    </w:rPr>
                    <w:t>μ</w:t>
                  </w:r>
                  <w:r>
                    <w:rPr>
                      <w:rFonts w:hint="eastAsia" w:eastAsia="宋体"/>
                      <w:bCs/>
                      <w:sz w:val="24"/>
                      <w:szCs w:val="24"/>
                    </w:rPr>
                    <w:t>g/m</w:t>
                  </w:r>
                  <w:r>
                    <w:rPr>
                      <w:rFonts w:hint="eastAsia" w:eastAsia="宋体"/>
                      <w:bCs/>
                      <w:sz w:val="24"/>
                      <w:szCs w:val="24"/>
                      <w:vertAlign w:val="superscript"/>
                    </w:rPr>
                    <w:t>3</w:t>
                  </w:r>
                  <w:r>
                    <w:rPr>
                      <w:rFonts w:hint="eastAsia" w:eastAsia="宋体"/>
                      <w:bCs/>
                      <w:sz w:val="24"/>
                      <w:szCs w:val="24"/>
                    </w:rPr>
                    <w:t>、180</w:t>
                  </w:r>
                  <w:r>
                    <w:rPr>
                      <w:rFonts w:eastAsia="宋体"/>
                      <w:bCs/>
                      <w:sz w:val="24"/>
                      <w:szCs w:val="24"/>
                    </w:rPr>
                    <w:t>μ</w:t>
                  </w:r>
                  <w:r>
                    <w:rPr>
                      <w:rFonts w:hint="eastAsia" w:eastAsia="宋体"/>
                      <w:bCs/>
                      <w:sz w:val="24"/>
                      <w:szCs w:val="24"/>
                    </w:rPr>
                    <w:t>g/m</w:t>
                  </w:r>
                  <w:r>
                    <w:rPr>
                      <w:rFonts w:hint="eastAsia" w:eastAsia="宋体"/>
                      <w:bCs/>
                      <w:sz w:val="24"/>
                      <w:szCs w:val="24"/>
                      <w:vertAlign w:val="superscript"/>
                    </w:rPr>
                    <w:t>3</w:t>
                  </w:r>
                  <w:r>
                    <w:rPr>
                      <w:rFonts w:hint="eastAsia" w:eastAsia="宋体"/>
                      <w:bCs/>
                      <w:sz w:val="24"/>
                      <w:szCs w:val="24"/>
                    </w:rPr>
                    <w:t>，不降反升5.4%、7.8%。O</w:t>
                  </w:r>
                  <w:r>
                    <w:rPr>
                      <w:rFonts w:hint="eastAsia" w:eastAsia="宋体"/>
                      <w:bCs/>
                      <w:sz w:val="24"/>
                      <w:szCs w:val="24"/>
                      <w:vertAlign w:val="subscript"/>
                    </w:rPr>
                    <w:t>3</w:t>
                  </w:r>
                  <w:r>
                    <w:rPr>
                      <w:rFonts w:hint="eastAsia" w:eastAsia="宋体"/>
                      <w:bCs/>
                      <w:sz w:val="24"/>
                      <w:szCs w:val="24"/>
                    </w:rPr>
                    <w:t>作为首要污染物的超标天数为69天，全年占超标天数51.1%，已成为影响全市空气质量达标的主要指标；PM</w:t>
                  </w:r>
                  <w:r>
                    <w:rPr>
                      <w:rFonts w:hint="eastAsia" w:eastAsia="宋体"/>
                      <w:bCs/>
                      <w:sz w:val="24"/>
                      <w:szCs w:val="24"/>
                      <w:vertAlign w:val="subscript"/>
                    </w:rPr>
                    <w:t>2.5</w:t>
                  </w:r>
                  <w:r>
                    <w:rPr>
                      <w:rFonts w:hint="eastAsia" w:eastAsia="宋体"/>
                      <w:bCs/>
                      <w:sz w:val="24"/>
                      <w:szCs w:val="24"/>
                    </w:rPr>
                    <w:t>、PM</w:t>
                  </w:r>
                  <w:r>
                    <w:rPr>
                      <w:rFonts w:hint="eastAsia" w:eastAsia="宋体"/>
                      <w:bCs/>
                      <w:sz w:val="24"/>
                      <w:szCs w:val="24"/>
                      <w:vertAlign w:val="subscript"/>
                    </w:rPr>
                    <w:t>10</w:t>
                  </w:r>
                  <w:r>
                    <w:rPr>
                      <w:rFonts w:hint="eastAsia" w:eastAsia="宋体"/>
                      <w:bCs/>
                      <w:sz w:val="24"/>
                      <w:szCs w:val="24"/>
                    </w:rPr>
                    <w:t>作为首要污染物超标占比分别为43.0%、6.7%。全市环境空气质量优良天数比例为63.0%，同比下降6.0个百分点，未达考核要求（65.5%）</w:t>
                  </w:r>
                  <w:r>
                    <w:rPr>
                      <w:rFonts w:eastAsia="宋体"/>
                      <w:bCs/>
                      <w:sz w:val="24"/>
                      <w:szCs w:val="24"/>
                    </w:rPr>
                    <w:t>；</w:t>
                  </w:r>
                </w:p>
                <w:p>
                  <w:pPr>
                    <w:adjustRightInd w:val="0"/>
                    <w:snapToGrid w:val="0"/>
                    <w:ind w:firstLine="480" w:firstLineChars="200"/>
                    <w:rPr>
                      <w:rFonts w:eastAsia="宋体"/>
                      <w:bCs/>
                      <w:sz w:val="24"/>
                      <w:szCs w:val="24"/>
                    </w:rPr>
                  </w:pPr>
                  <w:r>
                    <w:rPr>
                      <w:rFonts w:eastAsia="宋体"/>
                      <w:bCs/>
                      <w:sz w:val="24"/>
                      <w:szCs w:val="24"/>
                    </w:rPr>
                    <w:t>项目纳污水体为沂南河。根据沭阳县环保局发布的2018年1 ~12 月环境质量公报，沂南河监测断面水质各项指标均达《地表水环境质量标准》（GB3838-2002）Ⅳ类标准要求，水体环境良好。</w:t>
                  </w:r>
                </w:p>
                <w:p>
                  <w:pPr>
                    <w:adjustRightInd w:val="0"/>
                    <w:snapToGrid w:val="0"/>
                    <w:ind w:firstLine="480" w:firstLineChars="200"/>
                    <w:rPr>
                      <w:sz w:val="23"/>
                      <w:szCs w:val="23"/>
                    </w:rPr>
                  </w:pPr>
                  <w:r>
                    <w:rPr>
                      <w:rFonts w:eastAsia="宋体"/>
                      <w:bCs/>
                      <w:sz w:val="24"/>
                      <w:szCs w:val="24"/>
                    </w:rPr>
                    <w:t>根据《宿迁市2018年环境状况公报》，</w:t>
                  </w:r>
                  <w:r>
                    <w:rPr>
                      <w:rFonts w:hint="eastAsia" w:eastAsia="宋体"/>
                      <w:bCs/>
                      <w:sz w:val="24"/>
                      <w:szCs w:val="24"/>
                    </w:rPr>
                    <w:t>沭阳县</w:t>
                  </w:r>
                  <w:r>
                    <w:rPr>
                      <w:rFonts w:eastAsia="宋体"/>
                      <w:bCs/>
                      <w:sz w:val="24"/>
                      <w:szCs w:val="24"/>
                    </w:rPr>
                    <w:t>达到《环境噪声监测技术规范城市声环境常规监测》（HJ640-2012）</w:t>
                  </w:r>
                  <w:r>
                    <w:rPr>
                      <w:rFonts w:hint="eastAsia" w:eastAsia="宋体"/>
                      <w:bCs/>
                      <w:sz w:val="24"/>
                      <w:szCs w:val="24"/>
                    </w:rPr>
                    <w:t>三</w:t>
                  </w:r>
                  <w:r>
                    <w:rPr>
                      <w:rFonts w:eastAsia="宋体"/>
                      <w:bCs/>
                      <w:sz w:val="24"/>
                      <w:szCs w:val="24"/>
                    </w:rPr>
                    <w:t>级标准。2018年，对纳入国家土壤监测网的5个背景点位开展土壤环境质量例行监测，并按《土壤环境质量农用地土壤污染风险管控标准》（GB15618-2018）进行风险评估，5个背景点的11个风险筛选项目均小于风险筛选值，全市土壤污染风险低。建设项目所在地无不良辐射环境和生态环境影响。</w:t>
                  </w:r>
                </w:p>
                <w:p>
                  <w:pPr>
                    <w:adjustRightInd w:val="0"/>
                    <w:snapToGrid w:val="0"/>
                    <w:ind w:firstLine="482" w:firstLineChars="200"/>
                    <w:rPr>
                      <w:rFonts w:eastAsia="宋体"/>
                      <w:b/>
                      <w:sz w:val="24"/>
                      <w:szCs w:val="24"/>
                    </w:rPr>
                  </w:pPr>
                  <w:r>
                    <w:rPr>
                      <w:rFonts w:eastAsia="宋体"/>
                      <w:b/>
                      <w:sz w:val="24"/>
                      <w:szCs w:val="24"/>
                    </w:rPr>
                    <w:t>3、</w:t>
                  </w:r>
                  <w:r>
                    <w:rPr>
                      <w:rFonts w:hint="eastAsia" w:eastAsia="宋体"/>
                      <w:b/>
                      <w:sz w:val="24"/>
                      <w:szCs w:val="24"/>
                    </w:rPr>
                    <w:t>营运期</w:t>
                  </w:r>
                  <w:r>
                    <w:rPr>
                      <w:rFonts w:eastAsia="宋体"/>
                      <w:b/>
                      <w:sz w:val="24"/>
                      <w:szCs w:val="24"/>
                    </w:rPr>
                    <w:t>环境影响分析</w:t>
                  </w:r>
                  <w:r>
                    <w:rPr>
                      <w:rFonts w:hint="eastAsia" w:eastAsia="宋体"/>
                      <w:b/>
                      <w:sz w:val="24"/>
                      <w:szCs w:val="24"/>
                    </w:rPr>
                    <w:t>及对策措施</w:t>
                  </w:r>
                </w:p>
                <w:p>
                  <w:pPr>
                    <w:ind w:firstLine="480" w:firstLineChars="200"/>
                    <w:rPr>
                      <w:rFonts w:eastAsia="宋体"/>
                      <w:sz w:val="24"/>
                      <w:szCs w:val="24"/>
                    </w:rPr>
                  </w:pPr>
                  <w:r>
                    <w:rPr>
                      <w:rFonts w:hint="eastAsia" w:eastAsia="宋体"/>
                      <w:sz w:val="24"/>
                      <w:szCs w:val="24"/>
                    </w:rPr>
                    <w:t>本项目运营期大气环境污染主要为非甲烷总烃；水环境污染主要为生活污水；固废方面主要是生活垃圾、油罐清洗废物；声环境影响主要为加油站设备运行噪声。</w:t>
                  </w:r>
                </w:p>
                <w:p>
                  <w:pPr>
                    <w:ind w:firstLine="480" w:firstLineChars="200"/>
                    <w:rPr>
                      <w:rFonts w:eastAsia="宋体"/>
                      <w:sz w:val="24"/>
                      <w:szCs w:val="24"/>
                    </w:rPr>
                  </w:pPr>
                  <w:r>
                    <w:rPr>
                      <w:rFonts w:eastAsia="宋体"/>
                      <w:sz w:val="24"/>
                      <w:szCs w:val="24"/>
                    </w:rPr>
                    <w:t>（1）废气</w:t>
                  </w:r>
                </w:p>
                <w:p>
                  <w:pPr>
                    <w:ind w:firstLine="480" w:firstLineChars="200"/>
                    <w:rPr>
                      <w:rFonts w:eastAsia="宋体"/>
                      <w:sz w:val="24"/>
                      <w:szCs w:val="24"/>
                    </w:rPr>
                  </w:pPr>
                  <w:r>
                    <w:rPr>
                      <w:rFonts w:hint="eastAsia" w:eastAsia="宋体"/>
                      <w:sz w:val="24"/>
                      <w:szCs w:val="24"/>
                    </w:rPr>
                    <w:t>加油站采用地埋式储油罐，油气逸散较少，在采取相应的二级油气回收措施，严格控制油气无组织排放，可大大减少非甲烷总烃类对大气环境的排放量，减少由此而造成的大气污染影响，确保厂界达标，对周围大气环境不会产生明显影响。通过空气自然流通扩散及绿化带的作用，项目内产生的机动车尾气，很快就能被稀释扩散，对周围环境影响较小。</w:t>
                  </w:r>
                </w:p>
                <w:p>
                  <w:pPr>
                    <w:adjustRightInd w:val="0"/>
                    <w:snapToGrid w:val="0"/>
                    <w:ind w:firstLine="480" w:firstLineChars="200"/>
                    <w:rPr>
                      <w:rFonts w:eastAsia="宋体"/>
                      <w:sz w:val="24"/>
                      <w:szCs w:val="24"/>
                    </w:rPr>
                  </w:pPr>
                  <w:r>
                    <w:rPr>
                      <w:rFonts w:eastAsia="宋体"/>
                      <w:sz w:val="24"/>
                      <w:szCs w:val="24"/>
                    </w:rPr>
                    <w:t>（2）废水</w:t>
                  </w:r>
                </w:p>
                <w:p>
                  <w:pPr>
                    <w:pStyle w:val="13"/>
                    <w:adjustRightInd w:val="0"/>
                    <w:snapToGrid w:val="0"/>
                    <w:ind w:firstLine="480" w:firstLineChars="200"/>
                    <w:rPr>
                      <w:rFonts w:ascii="Times New Roman" w:hAnsi="Times New Roman" w:cs="Times New Roman"/>
                      <w:sz w:val="24"/>
                      <w:szCs w:val="24"/>
                    </w:rPr>
                  </w:pPr>
                  <w:r>
                    <w:rPr>
                      <w:rFonts w:hint="eastAsia" w:ascii="Times New Roman" w:hAnsi="Times New Roman" w:cs="Times New Roman"/>
                      <w:sz w:val="24"/>
                      <w:szCs w:val="24"/>
                    </w:rPr>
                    <w:t>项目废水主要为生活污水，</w:t>
                  </w:r>
                  <w:r>
                    <w:rPr>
                      <w:rFonts w:hint="eastAsia"/>
                      <w:kern w:val="0"/>
                      <w:sz w:val="24"/>
                      <w:szCs w:val="24"/>
                    </w:rPr>
                    <w:t>经化粪池处理</w:t>
                  </w:r>
                  <w:r>
                    <w:rPr>
                      <w:bCs/>
                      <w:kern w:val="0"/>
                      <w:sz w:val="24"/>
                      <w:szCs w:val="24"/>
                    </w:rPr>
                    <w:t>达到</w:t>
                  </w:r>
                  <w:r>
                    <w:rPr>
                      <w:rFonts w:ascii="Times New Roman" w:hAnsi="Times New Roman" w:cs="Times New Roman"/>
                      <w:sz w:val="24"/>
                      <w:szCs w:val="24"/>
                    </w:rPr>
                    <w:t>沭阳县城东污水处理</w:t>
                  </w:r>
                  <w:r>
                    <w:rPr>
                      <w:rFonts w:hint="eastAsia" w:cs="Times New Roman"/>
                      <w:sz w:val="24"/>
                      <w:szCs w:val="24"/>
                    </w:rPr>
                    <w:t>厂</w:t>
                  </w:r>
                  <w:r>
                    <w:rPr>
                      <w:bCs/>
                      <w:kern w:val="0"/>
                      <w:sz w:val="24"/>
                      <w:szCs w:val="24"/>
                    </w:rPr>
                    <w:t>接管标准后，经市政污水管网排入</w:t>
                  </w:r>
                  <w:r>
                    <w:rPr>
                      <w:rFonts w:ascii="Times New Roman" w:hAnsi="Times New Roman" w:cs="Times New Roman"/>
                      <w:sz w:val="24"/>
                      <w:szCs w:val="24"/>
                    </w:rPr>
                    <w:t>沭阳县城东污水处理</w:t>
                  </w:r>
                  <w:r>
                    <w:rPr>
                      <w:rFonts w:hint="eastAsia" w:cs="Times New Roman"/>
                      <w:sz w:val="24"/>
                      <w:szCs w:val="24"/>
                    </w:rPr>
                    <w:t>厂</w:t>
                  </w:r>
                  <w:r>
                    <w:rPr>
                      <w:bCs/>
                      <w:kern w:val="0"/>
                      <w:sz w:val="24"/>
                      <w:szCs w:val="24"/>
                    </w:rPr>
                    <w:t>集中处理，尾水</w:t>
                  </w:r>
                  <w:r>
                    <w:rPr>
                      <w:rFonts w:hint="eastAsia"/>
                      <w:bCs/>
                      <w:kern w:val="0"/>
                      <w:sz w:val="24"/>
                      <w:szCs w:val="24"/>
                    </w:rPr>
                    <w:t>执行</w:t>
                  </w:r>
                  <w:r>
                    <w:rPr>
                      <w:bCs/>
                      <w:kern w:val="0"/>
                      <w:sz w:val="24"/>
                      <w:szCs w:val="24"/>
                    </w:rPr>
                    <w:t>《城镇污水处理厂污染物排放标准》（GB18918-2002）表1中一级</w:t>
                  </w:r>
                  <w:r>
                    <w:rPr>
                      <w:rFonts w:hint="eastAsia"/>
                      <w:bCs/>
                      <w:kern w:val="0"/>
                      <w:sz w:val="24"/>
                      <w:szCs w:val="24"/>
                    </w:rPr>
                    <w:t>A</w:t>
                  </w:r>
                  <w:r>
                    <w:rPr>
                      <w:bCs/>
                      <w:kern w:val="0"/>
                      <w:sz w:val="24"/>
                      <w:szCs w:val="24"/>
                    </w:rPr>
                    <w:t>标准</w:t>
                  </w:r>
                  <w:r>
                    <w:rPr>
                      <w:rFonts w:hint="eastAsia"/>
                      <w:kern w:val="0"/>
                      <w:sz w:val="24"/>
                      <w:szCs w:val="24"/>
                    </w:rPr>
                    <w:t>。</w:t>
                  </w:r>
                </w:p>
                <w:p>
                  <w:pPr>
                    <w:autoSpaceDE w:val="0"/>
                    <w:autoSpaceDN w:val="0"/>
                    <w:ind w:firstLine="506" w:firstLineChars="211"/>
                    <w:rPr>
                      <w:rFonts w:eastAsia="宋体"/>
                      <w:sz w:val="24"/>
                      <w:szCs w:val="24"/>
                    </w:rPr>
                  </w:pPr>
                  <w:r>
                    <w:rPr>
                      <w:rFonts w:eastAsia="宋体"/>
                      <w:sz w:val="24"/>
                      <w:szCs w:val="24"/>
                    </w:rPr>
                    <w:t>（3）噪声</w:t>
                  </w:r>
                </w:p>
                <w:p>
                  <w:pPr>
                    <w:ind w:firstLine="480" w:firstLineChars="200"/>
                    <w:rPr>
                      <w:rFonts w:eastAsia="宋体"/>
                      <w:sz w:val="24"/>
                      <w:szCs w:val="24"/>
                    </w:rPr>
                  </w:pPr>
                  <w:r>
                    <w:rPr>
                      <w:rFonts w:eastAsia="宋体"/>
                      <w:sz w:val="24"/>
                      <w:szCs w:val="24"/>
                    </w:rPr>
                    <w:t>该项目主要</w:t>
                  </w:r>
                  <w:r>
                    <w:rPr>
                      <w:rFonts w:hint="eastAsia" w:eastAsia="宋体"/>
                      <w:sz w:val="24"/>
                      <w:szCs w:val="24"/>
                    </w:rPr>
                    <w:t>噪</w:t>
                  </w:r>
                  <w:r>
                    <w:rPr>
                      <w:rFonts w:eastAsia="宋体"/>
                      <w:sz w:val="24"/>
                      <w:szCs w:val="24"/>
                    </w:rPr>
                    <w:t>声源为加油机及机泵等设备产生的噪声</w:t>
                  </w:r>
                  <w:r>
                    <w:rPr>
                      <w:rFonts w:hint="eastAsia" w:eastAsia="宋体"/>
                      <w:sz w:val="24"/>
                      <w:szCs w:val="24"/>
                    </w:rPr>
                    <w:t>及来往车辆噪声</w:t>
                  </w:r>
                  <w:r>
                    <w:rPr>
                      <w:rFonts w:eastAsia="宋体"/>
                      <w:sz w:val="24"/>
                      <w:szCs w:val="24"/>
                    </w:rPr>
                    <w:t>，噪声值大约为</w:t>
                  </w:r>
                  <w:r>
                    <w:rPr>
                      <w:rFonts w:hint="eastAsia" w:eastAsia="宋体"/>
                      <w:sz w:val="24"/>
                      <w:szCs w:val="24"/>
                    </w:rPr>
                    <w:t>60-75</w:t>
                  </w:r>
                  <w:r>
                    <w:rPr>
                      <w:rFonts w:eastAsia="宋体"/>
                      <w:sz w:val="24"/>
                      <w:szCs w:val="24"/>
                    </w:rPr>
                    <w:t>dB（A）之间。通过采取降噪、隔声、设备合理布局等措施</w:t>
                  </w:r>
                  <w:r>
                    <w:rPr>
                      <w:rFonts w:hint="eastAsia" w:eastAsia="宋体"/>
                      <w:sz w:val="24"/>
                      <w:szCs w:val="24"/>
                    </w:rPr>
                    <w:t>且经距离衰减后</w:t>
                  </w:r>
                  <w:r>
                    <w:rPr>
                      <w:rFonts w:eastAsia="宋体"/>
                      <w:sz w:val="24"/>
                      <w:szCs w:val="24"/>
                    </w:rPr>
                    <w:t>，项目厂界噪声可以达到《工业企业厂界环境噪声排放标准》（GB12348-2008）中的</w:t>
                  </w:r>
                  <w:r>
                    <w:rPr>
                      <w:rFonts w:hint="eastAsia" w:eastAsia="宋体"/>
                      <w:sz w:val="24"/>
                      <w:szCs w:val="24"/>
                    </w:rPr>
                    <w:t>2</w:t>
                  </w:r>
                  <w:r>
                    <w:rPr>
                      <w:rFonts w:eastAsia="宋体"/>
                      <w:sz w:val="24"/>
                      <w:szCs w:val="24"/>
                    </w:rPr>
                    <w:t>类要求，对周边环境影响较小。</w:t>
                  </w:r>
                </w:p>
                <w:p>
                  <w:pPr>
                    <w:autoSpaceDE w:val="0"/>
                    <w:autoSpaceDN w:val="0"/>
                    <w:ind w:firstLine="506" w:firstLineChars="211"/>
                    <w:rPr>
                      <w:rFonts w:eastAsia="宋体"/>
                      <w:sz w:val="24"/>
                      <w:szCs w:val="24"/>
                    </w:rPr>
                  </w:pPr>
                  <w:r>
                    <w:rPr>
                      <w:rFonts w:eastAsia="宋体"/>
                      <w:sz w:val="24"/>
                      <w:szCs w:val="24"/>
                    </w:rPr>
                    <w:t>（4）固体废弃物</w:t>
                  </w:r>
                </w:p>
                <w:p>
                  <w:pPr>
                    <w:autoSpaceDE w:val="0"/>
                    <w:autoSpaceDN w:val="0"/>
                    <w:ind w:firstLine="506" w:firstLineChars="211"/>
                    <w:rPr>
                      <w:rFonts w:eastAsia="宋体"/>
                      <w:sz w:val="24"/>
                      <w:szCs w:val="24"/>
                    </w:rPr>
                  </w:pPr>
                  <w:r>
                    <w:rPr>
                      <w:rFonts w:hint="eastAsia" w:eastAsia="宋体"/>
                      <w:sz w:val="24"/>
                      <w:szCs w:val="24"/>
                    </w:rPr>
                    <w:t>项目产生的油罐清洗废物由于量少且清罐频次低，不设专门的危废暂存处贮存。清罐废物在清罐作业完成后由有资质单位及时处理。固体废物做到100%处理，对周围环境影响很小。</w:t>
                  </w:r>
                </w:p>
                <w:p>
                  <w:pPr>
                    <w:ind w:firstLine="480" w:firstLineChars="200"/>
                    <w:rPr>
                      <w:rFonts w:eastAsia="宋体"/>
                      <w:sz w:val="24"/>
                      <w:szCs w:val="24"/>
                    </w:rPr>
                  </w:pPr>
                  <w:r>
                    <w:rPr>
                      <w:rFonts w:hint="eastAsia" w:eastAsia="宋体"/>
                      <w:sz w:val="24"/>
                      <w:szCs w:val="24"/>
                    </w:rPr>
                    <w:t>（5）地下水</w:t>
                  </w:r>
                </w:p>
                <w:p>
                  <w:pPr>
                    <w:ind w:firstLine="480" w:firstLineChars="200"/>
                    <w:rPr>
                      <w:rFonts w:eastAsia="宋体"/>
                      <w:sz w:val="24"/>
                      <w:szCs w:val="24"/>
                    </w:rPr>
                  </w:pPr>
                  <w:r>
                    <w:rPr>
                      <w:rFonts w:hint="eastAsia" w:eastAsia="宋体"/>
                      <w:sz w:val="24"/>
                      <w:szCs w:val="24"/>
                    </w:rPr>
                    <w:t>根据《加油站地下水污染防治技术指南（试行）》（2017 年3 月）要求，为了预防加油站地下水污染，加油站需设置双层罐，同时开展地下水监测，发生事故时立即采取应急处理措施，可有效防止对地下水造成污染。</w:t>
                  </w:r>
                </w:p>
                <w:p>
                  <w:pPr>
                    <w:ind w:firstLine="480" w:firstLineChars="200"/>
                    <w:rPr>
                      <w:rFonts w:eastAsia="宋体"/>
                      <w:sz w:val="24"/>
                      <w:szCs w:val="24"/>
                    </w:rPr>
                  </w:pPr>
                  <w:r>
                    <w:rPr>
                      <w:rFonts w:hint="eastAsia" w:eastAsia="宋体"/>
                      <w:sz w:val="24"/>
                      <w:szCs w:val="24"/>
                    </w:rPr>
                    <w:t>（6）土壤</w:t>
                  </w:r>
                </w:p>
                <w:p>
                  <w:pPr>
                    <w:ind w:firstLine="480" w:firstLineChars="200"/>
                    <w:rPr>
                      <w:rFonts w:eastAsia="宋体"/>
                      <w:sz w:val="24"/>
                      <w:szCs w:val="24"/>
                    </w:rPr>
                  </w:pPr>
                  <w:r>
                    <w:rPr>
                      <w:rFonts w:hint="eastAsia" w:eastAsia="宋体"/>
                      <w:sz w:val="24"/>
                      <w:szCs w:val="24"/>
                    </w:rPr>
                    <w:t>本项目按《汽车加油加气站设计与施工规范》（GB50156-2012，2014 修订）的要求进行设计与施工，储油设备采用内钢外玻璃纤维增强塑料双层油罐，油路管线采用无缝钢管，采用焊接工艺，敷设于地下，钢管和钢罐进行加强级防腐处理，即采用玻璃布、沥青、聚乙烯工业膜等材料做成多层防腐涂层，以防止钢罐和钢管腐蚀造成油品泄漏污染土壤。</w:t>
                  </w:r>
                </w:p>
                <w:p>
                  <w:pPr>
                    <w:adjustRightInd w:val="0"/>
                    <w:snapToGrid w:val="0"/>
                    <w:ind w:firstLine="482" w:firstLineChars="200"/>
                    <w:rPr>
                      <w:rFonts w:eastAsia="宋体"/>
                      <w:b/>
                      <w:sz w:val="24"/>
                      <w:szCs w:val="24"/>
                    </w:rPr>
                  </w:pPr>
                  <w:r>
                    <w:rPr>
                      <w:rFonts w:eastAsia="宋体"/>
                      <w:b/>
                      <w:sz w:val="24"/>
                      <w:szCs w:val="24"/>
                    </w:rPr>
                    <w:t>4、环境风险分析</w:t>
                  </w:r>
                </w:p>
                <w:p>
                  <w:pPr>
                    <w:pStyle w:val="13"/>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环境风险潜势为I，最大可信事故为储罐或输油管线发生泄漏，以及火灾CO次生/伴生灾害。要求企业加强风险管理，认真落实各种风险防范措施，通过相应的技术手段降低风险发生概率，并在风险事故发生后，及时采取风险防范措施及应急预案，可使风险事故对环境的危害得到有效控制，将事故风险控制在可以接受的范围内。则本项目的环境风险可防控。</w:t>
                  </w:r>
                </w:p>
                <w:p>
                  <w:pPr>
                    <w:ind w:firstLine="482" w:firstLineChars="200"/>
                    <w:rPr>
                      <w:rFonts w:eastAsia="宋体"/>
                      <w:b/>
                      <w:sz w:val="24"/>
                      <w:szCs w:val="24"/>
                    </w:rPr>
                  </w:pPr>
                  <w:r>
                    <w:rPr>
                      <w:rFonts w:eastAsia="宋体"/>
                      <w:b/>
                      <w:sz w:val="24"/>
                      <w:szCs w:val="24"/>
                    </w:rPr>
                    <w:t>5、总量控制</w:t>
                  </w:r>
                </w:p>
                <w:p>
                  <w:pPr>
                    <w:autoSpaceDE w:val="0"/>
                    <w:autoSpaceDN w:val="0"/>
                    <w:adjustRightInd w:val="0"/>
                    <w:ind w:left="140" w:leftChars="50" w:right="140" w:rightChars="50" w:firstLine="480" w:firstLineChars="200"/>
                    <w:rPr>
                      <w:rFonts w:eastAsia="宋体"/>
                      <w:kern w:val="0"/>
                      <w:sz w:val="24"/>
                    </w:rPr>
                  </w:pPr>
                  <w:r>
                    <w:rPr>
                      <w:rFonts w:hint="eastAsia" w:eastAsia="宋体"/>
                      <w:kern w:val="0"/>
                      <w:sz w:val="24"/>
                    </w:rPr>
                    <w:t>本项目产生少量生活污水需接管处理。</w:t>
                  </w:r>
                </w:p>
                <w:p>
                  <w:pPr>
                    <w:pStyle w:val="25"/>
                    <w:ind w:firstLine="240"/>
                    <w:rPr>
                      <w:rFonts w:eastAsia="宋体"/>
                      <w:kern w:val="0"/>
                      <w:sz w:val="24"/>
                    </w:rPr>
                  </w:pPr>
                  <w:r>
                    <w:rPr>
                      <w:rFonts w:hint="eastAsia" w:eastAsia="宋体"/>
                      <w:kern w:val="0"/>
                      <w:sz w:val="24"/>
                    </w:rPr>
                    <w:t>废水：</w:t>
                  </w:r>
                </w:p>
                <w:p>
                  <w:pPr>
                    <w:pStyle w:val="25"/>
                    <w:ind w:firstLine="720" w:firstLineChars="300"/>
                    <w:rPr>
                      <w:rFonts w:eastAsia="宋体" w:cs="宋体"/>
                      <w:kern w:val="0"/>
                      <w:sz w:val="24"/>
                      <w:szCs w:val="24"/>
                    </w:rPr>
                  </w:pPr>
                  <w:r>
                    <w:rPr>
                      <w:rFonts w:eastAsia="宋体"/>
                      <w:sz w:val="24"/>
                      <w:szCs w:val="24"/>
                    </w:rPr>
                    <w:t>废水接管考核量：废水量≤</w:t>
                  </w:r>
                  <w:r>
                    <w:rPr>
                      <w:rFonts w:hint="eastAsia" w:eastAsia="宋体"/>
                      <w:sz w:val="24"/>
                      <w:szCs w:val="24"/>
                    </w:rPr>
                    <w:t>759.2</w:t>
                  </w:r>
                  <w:r>
                    <w:rPr>
                      <w:rFonts w:eastAsia="宋体"/>
                      <w:sz w:val="24"/>
                      <w:szCs w:val="24"/>
                    </w:rPr>
                    <w:t>t/a、</w:t>
                  </w:r>
                  <w:r>
                    <w:rPr>
                      <w:rFonts w:eastAsia="宋体" w:cs="宋体"/>
                      <w:kern w:val="0"/>
                      <w:sz w:val="24"/>
                      <w:szCs w:val="24"/>
                    </w:rPr>
                    <w:t>COD</w:t>
                  </w:r>
                  <w:r>
                    <w:rPr>
                      <w:rFonts w:hint="eastAsia" w:eastAsia="宋体" w:cs="宋体"/>
                      <w:kern w:val="0"/>
                      <w:sz w:val="24"/>
                      <w:szCs w:val="24"/>
                    </w:rPr>
                    <w:t>≤0.228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≤0.15</w:t>
                  </w:r>
                  <w:r>
                    <w:rPr>
                      <w:rFonts w:eastAsia="宋体" w:cs="宋体"/>
                      <w:kern w:val="0"/>
                      <w:sz w:val="24"/>
                      <w:szCs w:val="24"/>
                    </w:rPr>
                    <w:t>t/a</w:t>
                  </w:r>
                  <w:r>
                    <w:rPr>
                      <w:rFonts w:hint="eastAsia" w:eastAsia="宋体" w:cs="宋体"/>
                      <w:kern w:val="0"/>
                      <w:sz w:val="24"/>
                      <w:szCs w:val="24"/>
                    </w:rPr>
                    <w:t>、氨氮≤0.019</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w:t>
                  </w:r>
                  <w:r>
                    <w:rPr>
                      <w:rFonts w:eastAsia="宋体" w:cs="宋体"/>
                      <w:kern w:val="0"/>
                      <w:sz w:val="24"/>
                      <w:szCs w:val="24"/>
                    </w:rPr>
                    <w:t>0.00</w:t>
                  </w:r>
                  <w:r>
                    <w:rPr>
                      <w:rFonts w:hint="eastAsia" w:eastAsia="宋体" w:cs="宋体"/>
                      <w:kern w:val="0"/>
                      <w:sz w:val="24"/>
                      <w:szCs w:val="24"/>
                    </w:rPr>
                    <w:t>23</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N≤0.034</w:t>
                  </w:r>
                  <w:r>
                    <w:rPr>
                      <w:rFonts w:eastAsia="宋体" w:cs="宋体"/>
                      <w:kern w:val="0"/>
                      <w:sz w:val="24"/>
                      <w:szCs w:val="24"/>
                    </w:rPr>
                    <w:t>t/a</w:t>
                  </w:r>
                  <w:r>
                    <w:rPr>
                      <w:rFonts w:hint="eastAsia" w:eastAsia="宋体" w:cs="宋体"/>
                      <w:kern w:val="0"/>
                      <w:sz w:val="24"/>
                      <w:szCs w:val="24"/>
                    </w:rPr>
                    <w:t>，</w:t>
                  </w:r>
                </w:p>
                <w:p>
                  <w:pPr>
                    <w:pStyle w:val="25"/>
                    <w:ind w:firstLine="720" w:firstLineChars="300"/>
                  </w:pPr>
                  <w:r>
                    <w:rPr>
                      <w:rFonts w:eastAsia="宋体"/>
                      <w:sz w:val="24"/>
                      <w:szCs w:val="24"/>
                    </w:rPr>
                    <w:t>废水最终排放量：废水量≤</w:t>
                  </w:r>
                  <w:r>
                    <w:rPr>
                      <w:rFonts w:hint="eastAsia" w:eastAsia="宋体"/>
                      <w:sz w:val="24"/>
                      <w:szCs w:val="24"/>
                    </w:rPr>
                    <w:t>759.2</w:t>
                  </w:r>
                  <w:r>
                    <w:rPr>
                      <w:rFonts w:eastAsia="宋体"/>
                      <w:sz w:val="24"/>
                      <w:szCs w:val="24"/>
                    </w:rPr>
                    <w:t>t/a、</w:t>
                  </w:r>
                  <w:r>
                    <w:rPr>
                      <w:rFonts w:eastAsia="宋体" w:cs="宋体"/>
                      <w:kern w:val="0"/>
                      <w:sz w:val="24"/>
                      <w:szCs w:val="24"/>
                    </w:rPr>
                    <w:t>COD</w:t>
                  </w:r>
                  <w:r>
                    <w:rPr>
                      <w:rFonts w:hint="eastAsia" w:eastAsia="宋体" w:cs="宋体"/>
                      <w:kern w:val="0"/>
                      <w:sz w:val="24"/>
                      <w:szCs w:val="24"/>
                    </w:rPr>
                    <w:t>≤0.038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SS</w:t>
                  </w:r>
                  <w:r>
                    <w:rPr>
                      <w:rFonts w:hint="eastAsia" w:eastAsia="宋体" w:cs="宋体"/>
                      <w:kern w:val="0"/>
                      <w:sz w:val="24"/>
                      <w:szCs w:val="24"/>
                    </w:rPr>
                    <w:t>≤0.0076</w:t>
                  </w:r>
                  <w:r>
                    <w:rPr>
                      <w:rFonts w:eastAsia="宋体" w:cs="宋体"/>
                      <w:kern w:val="0"/>
                      <w:sz w:val="24"/>
                      <w:szCs w:val="24"/>
                    </w:rPr>
                    <w:t>t/a</w:t>
                  </w:r>
                  <w:r>
                    <w:rPr>
                      <w:rFonts w:hint="eastAsia" w:eastAsia="宋体" w:cs="宋体"/>
                      <w:kern w:val="0"/>
                      <w:sz w:val="24"/>
                      <w:szCs w:val="24"/>
                    </w:rPr>
                    <w:t>、氨氮≤</w:t>
                  </w:r>
                  <w:r>
                    <w:rPr>
                      <w:rFonts w:eastAsia="宋体" w:cs="宋体"/>
                      <w:kern w:val="0"/>
                      <w:sz w:val="24"/>
                      <w:szCs w:val="24"/>
                    </w:rPr>
                    <w:t>0.</w:t>
                  </w:r>
                  <w:r>
                    <w:rPr>
                      <w:rFonts w:hint="eastAsia" w:eastAsia="宋体" w:cs="宋体"/>
                      <w:kern w:val="0"/>
                      <w:sz w:val="24"/>
                      <w:szCs w:val="24"/>
                    </w:rPr>
                    <w:t>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0.</w:t>
                  </w:r>
                  <w:r>
                    <w:rPr>
                      <w:rFonts w:hint="eastAsia" w:eastAsia="宋体" w:cs="宋体"/>
                      <w:kern w:val="0"/>
                      <w:sz w:val="24"/>
                      <w:szCs w:val="24"/>
                    </w:rPr>
                    <w:t>0061</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 xml:space="preserve">TP </w:t>
                  </w:r>
                  <w:r>
                    <w:rPr>
                      <w:rFonts w:hint="eastAsia" w:eastAsia="宋体" w:cs="宋体"/>
                      <w:kern w:val="0"/>
                      <w:sz w:val="24"/>
                      <w:szCs w:val="24"/>
                    </w:rPr>
                    <w:t>≤0.00038</w:t>
                  </w:r>
                  <w:r>
                    <w:rPr>
                      <w:rFonts w:eastAsia="宋体" w:cs="宋体"/>
                      <w:kern w:val="0"/>
                      <w:sz w:val="24"/>
                      <w:szCs w:val="24"/>
                    </w:rPr>
                    <w:t>t/a</w:t>
                  </w:r>
                  <w:r>
                    <w:rPr>
                      <w:rFonts w:hint="eastAsia" w:eastAsia="宋体" w:cs="宋体"/>
                      <w:kern w:val="0"/>
                      <w:sz w:val="24"/>
                      <w:szCs w:val="24"/>
                    </w:rPr>
                    <w:t>、</w:t>
                  </w:r>
                  <w:r>
                    <w:rPr>
                      <w:rFonts w:eastAsia="宋体" w:cs="宋体"/>
                      <w:kern w:val="0"/>
                      <w:sz w:val="24"/>
                      <w:szCs w:val="24"/>
                    </w:rPr>
                    <w:t>T</w:t>
                  </w:r>
                  <w:r>
                    <w:rPr>
                      <w:rFonts w:hint="eastAsia" w:eastAsia="宋体" w:cs="宋体"/>
                      <w:kern w:val="0"/>
                      <w:sz w:val="24"/>
                      <w:szCs w:val="24"/>
                    </w:rPr>
                    <w:t>N≤0.0114</w:t>
                  </w:r>
                  <w:r>
                    <w:rPr>
                      <w:rFonts w:eastAsia="宋体" w:cs="宋体"/>
                      <w:kern w:val="0"/>
                      <w:sz w:val="24"/>
                      <w:szCs w:val="24"/>
                    </w:rPr>
                    <w:t>t/a</w:t>
                  </w:r>
                  <w:r>
                    <w:rPr>
                      <w:rFonts w:hint="eastAsia" w:eastAsia="宋体" w:cs="宋体"/>
                      <w:kern w:val="0"/>
                      <w:sz w:val="24"/>
                      <w:szCs w:val="24"/>
                    </w:rPr>
                    <w:t>。</w:t>
                  </w:r>
                </w:p>
                <w:p>
                  <w:pPr>
                    <w:autoSpaceDE w:val="0"/>
                    <w:autoSpaceDN w:val="0"/>
                    <w:adjustRightInd w:val="0"/>
                    <w:ind w:left="140" w:leftChars="50" w:right="140" w:rightChars="50" w:firstLine="480" w:firstLineChars="200"/>
                    <w:rPr>
                      <w:rFonts w:eastAsia="宋体"/>
                      <w:sz w:val="24"/>
                      <w:szCs w:val="24"/>
                    </w:rPr>
                  </w:pPr>
                  <w:r>
                    <w:rPr>
                      <w:rFonts w:eastAsia="宋体"/>
                      <w:kern w:val="0"/>
                      <w:sz w:val="24"/>
                      <w:szCs w:val="24"/>
                    </w:rPr>
                    <w:t>固废：零排放。</w:t>
                  </w:r>
                </w:p>
                <w:p>
                  <w:pPr>
                    <w:autoSpaceDE w:val="0"/>
                    <w:autoSpaceDN w:val="0"/>
                    <w:adjustRightInd w:val="0"/>
                    <w:ind w:firstLine="535" w:firstLineChars="222"/>
                    <w:rPr>
                      <w:rFonts w:eastAsia="宋体"/>
                      <w:b/>
                      <w:sz w:val="24"/>
                      <w:szCs w:val="24"/>
                    </w:rPr>
                  </w:pPr>
                  <w:r>
                    <w:rPr>
                      <w:rFonts w:eastAsia="宋体"/>
                      <w:b/>
                      <w:sz w:val="24"/>
                      <w:szCs w:val="24"/>
                    </w:rPr>
                    <w:t>6、三同时一览表</w:t>
                  </w:r>
                </w:p>
                <w:p>
                  <w:pPr>
                    <w:ind w:firstLine="480" w:firstLineChars="200"/>
                    <w:rPr>
                      <w:rFonts w:eastAsia="宋体"/>
                      <w:sz w:val="24"/>
                      <w:szCs w:val="24"/>
                    </w:rPr>
                  </w:pPr>
                  <w:r>
                    <w:rPr>
                      <w:rFonts w:eastAsia="宋体"/>
                      <w:sz w:val="24"/>
                      <w:szCs w:val="24"/>
                    </w:rPr>
                    <w:t>本项目总投资</w:t>
                  </w:r>
                  <w:r>
                    <w:rPr>
                      <w:rFonts w:hint="eastAsia" w:eastAsia="宋体"/>
                      <w:sz w:val="24"/>
                      <w:szCs w:val="24"/>
                    </w:rPr>
                    <w:t>1300</w:t>
                  </w:r>
                  <w:r>
                    <w:rPr>
                      <w:rFonts w:eastAsia="宋体"/>
                      <w:sz w:val="24"/>
                      <w:szCs w:val="24"/>
                    </w:rPr>
                    <w:t>万元，其中环保投资为</w:t>
                  </w:r>
                  <w:r>
                    <w:rPr>
                      <w:rFonts w:hint="eastAsia" w:eastAsia="宋体"/>
                      <w:sz w:val="24"/>
                      <w:szCs w:val="24"/>
                    </w:rPr>
                    <w:t>50</w:t>
                  </w:r>
                  <w:r>
                    <w:rPr>
                      <w:rFonts w:eastAsia="宋体"/>
                      <w:sz w:val="24"/>
                      <w:szCs w:val="24"/>
                    </w:rPr>
                    <w:t>万元，占总投资额的</w:t>
                  </w:r>
                  <w:r>
                    <w:rPr>
                      <w:rFonts w:hint="eastAsia" w:eastAsia="宋体"/>
                      <w:sz w:val="24"/>
                      <w:szCs w:val="24"/>
                    </w:rPr>
                    <w:t>3.8</w:t>
                  </w:r>
                  <w:r>
                    <w:rPr>
                      <w:rFonts w:eastAsia="宋体"/>
                      <w:sz w:val="24"/>
                      <w:szCs w:val="24"/>
                    </w:rPr>
                    <w:t>%，项目环保“三同时”验收详见表9-1。</w:t>
                  </w:r>
                </w:p>
                <w:p>
                  <w:pPr>
                    <w:spacing w:line="500" w:lineRule="exact"/>
                    <w:jc w:val="center"/>
                    <w:rPr>
                      <w:rFonts w:eastAsia="宋体"/>
                      <w:b/>
                      <w:sz w:val="24"/>
                      <w:szCs w:val="24"/>
                    </w:rPr>
                  </w:pPr>
                  <w:r>
                    <w:rPr>
                      <w:rFonts w:eastAsia="宋体"/>
                      <w:b/>
                      <w:sz w:val="24"/>
                      <w:szCs w:val="24"/>
                    </w:rPr>
                    <w:t>表9-1  建设项目环境保护“三同时”验收一览表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11"/>
                    <w:gridCol w:w="1309"/>
                    <w:gridCol w:w="1136"/>
                    <w:gridCol w:w="3153"/>
                    <w:gridCol w:w="2256"/>
                    <w:gridCol w:w="5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tcBorders>
                          <w:bottom w:val="single" w:color="auto" w:sz="2" w:space="0"/>
                        </w:tcBorders>
                        <w:vAlign w:val="center"/>
                      </w:tcPr>
                      <w:p>
                        <w:pPr>
                          <w:spacing w:line="280" w:lineRule="exact"/>
                          <w:jc w:val="center"/>
                          <w:rPr>
                            <w:rFonts w:eastAsia="宋体"/>
                            <w:bCs/>
                            <w:sz w:val="21"/>
                            <w:szCs w:val="21"/>
                          </w:rPr>
                        </w:pPr>
                        <w:r>
                          <w:rPr>
                            <w:rFonts w:eastAsia="宋体"/>
                            <w:bCs/>
                            <w:sz w:val="21"/>
                            <w:szCs w:val="21"/>
                          </w:rPr>
                          <w:t>类别</w:t>
                        </w:r>
                      </w:p>
                    </w:tc>
                    <w:tc>
                      <w:tcPr>
                        <w:tcW w:w="1309" w:type="dxa"/>
                        <w:vAlign w:val="center"/>
                      </w:tcPr>
                      <w:p>
                        <w:pPr>
                          <w:adjustRightInd w:val="0"/>
                          <w:snapToGrid w:val="0"/>
                          <w:spacing w:line="280" w:lineRule="exact"/>
                          <w:jc w:val="center"/>
                          <w:rPr>
                            <w:rFonts w:eastAsia="宋体"/>
                            <w:sz w:val="21"/>
                            <w:szCs w:val="21"/>
                          </w:rPr>
                        </w:pPr>
                        <w:r>
                          <w:rPr>
                            <w:rFonts w:eastAsia="宋体"/>
                            <w:sz w:val="21"/>
                            <w:szCs w:val="21"/>
                          </w:rPr>
                          <w:t>污染源验收点</w:t>
                        </w:r>
                      </w:p>
                    </w:tc>
                    <w:tc>
                      <w:tcPr>
                        <w:tcW w:w="1136" w:type="dxa"/>
                        <w:vAlign w:val="center"/>
                      </w:tcPr>
                      <w:p>
                        <w:pPr>
                          <w:adjustRightInd w:val="0"/>
                          <w:snapToGrid w:val="0"/>
                          <w:spacing w:line="280" w:lineRule="exact"/>
                          <w:jc w:val="center"/>
                          <w:rPr>
                            <w:rFonts w:eastAsia="宋体"/>
                            <w:sz w:val="21"/>
                            <w:szCs w:val="21"/>
                          </w:rPr>
                        </w:pPr>
                        <w:r>
                          <w:rPr>
                            <w:rFonts w:eastAsia="宋体"/>
                            <w:sz w:val="21"/>
                            <w:szCs w:val="21"/>
                          </w:rPr>
                          <w:t>验收因子</w:t>
                        </w:r>
                      </w:p>
                    </w:tc>
                    <w:tc>
                      <w:tcPr>
                        <w:tcW w:w="3153" w:type="dxa"/>
                        <w:vAlign w:val="center"/>
                      </w:tcPr>
                      <w:p>
                        <w:pPr>
                          <w:adjustRightInd w:val="0"/>
                          <w:snapToGrid w:val="0"/>
                          <w:spacing w:line="280" w:lineRule="exact"/>
                          <w:jc w:val="center"/>
                          <w:rPr>
                            <w:rFonts w:eastAsia="宋体"/>
                            <w:sz w:val="21"/>
                            <w:szCs w:val="21"/>
                          </w:rPr>
                        </w:pPr>
                        <w:r>
                          <w:rPr>
                            <w:rFonts w:eastAsia="宋体"/>
                            <w:sz w:val="21"/>
                            <w:szCs w:val="21"/>
                          </w:rPr>
                          <w:t>处理措施验收</w:t>
                        </w:r>
                      </w:p>
                    </w:tc>
                    <w:tc>
                      <w:tcPr>
                        <w:tcW w:w="2256" w:type="dxa"/>
                        <w:vAlign w:val="center"/>
                      </w:tcPr>
                      <w:p>
                        <w:pPr>
                          <w:adjustRightInd w:val="0"/>
                          <w:snapToGrid w:val="0"/>
                          <w:spacing w:line="280" w:lineRule="exact"/>
                          <w:jc w:val="center"/>
                          <w:rPr>
                            <w:rFonts w:eastAsia="宋体"/>
                            <w:sz w:val="21"/>
                            <w:szCs w:val="21"/>
                          </w:rPr>
                        </w:pPr>
                        <w:r>
                          <w:rPr>
                            <w:rFonts w:eastAsia="宋体"/>
                            <w:sz w:val="21"/>
                            <w:szCs w:val="21"/>
                          </w:rPr>
                          <w:t>执行标准</w:t>
                        </w:r>
                      </w:p>
                    </w:tc>
                    <w:tc>
                      <w:tcPr>
                        <w:tcW w:w="576" w:type="dxa"/>
                        <w:vAlign w:val="center"/>
                      </w:tcPr>
                      <w:p>
                        <w:pPr>
                          <w:spacing w:line="280" w:lineRule="exact"/>
                          <w:jc w:val="center"/>
                          <w:rPr>
                            <w:rFonts w:eastAsia="宋体"/>
                            <w:bCs/>
                            <w:sz w:val="21"/>
                            <w:szCs w:val="21"/>
                          </w:rPr>
                        </w:pPr>
                        <w:r>
                          <w:rPr>
                            <w:rFonts w:eastAsia="宋体"/>
                            <w:bCs/>
                            <w:sz w:val="21"/>
                            <w:szCs w:val="21"/>
                          </w:rPr>
                          <w:t>完成时间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restart"/>
                        <w:tcBorders>
                          <w:top w:val="single" w:color="auto" w:sz="2" w:space="0"/>
                        </w:tcBorders>
                        <w:vAlign w:val="center"/>
                      </w:tcPr>
                      <w:p>
                        <w:pPr>
                          <w:spacing w:line="280" w:lineRule="exact"/>
                          <w:jc w:val="center"/>
                          <w:rPr>
                            <w:rFonts w:eastAsia="宋体"/>
                            <w:bCs/>
                            <w:sz w:val="21"/>
                            <w:szCs w:val="21"/>
                          </w:rPr>
                        </w:pPr>
                        <w:r>
                          <w:rPr>
                            <w:rFonts w:eastAsia="宋体"/>
                            <w:bCs/>
                            <w:sz w:val="21"/>
                            <w:szCs w:val="21"/>
                          </w:rPr>
                          <w:t>本项目</w:t>
                        </w:r>
                      </w:p>
                    </w:tc>
                    <w:tc>
                      <w:tcPr>
                        <w:tcW w:w="1309" w:type="dxa"/>
                        <w:vAlign w:val="center"/>
                      </w:tcPr>
                      <w:p>
                        <w:pPr>
                          <w:spacing w:line="280" w:lineRule="exact"/>
                          <w:jc w:val="center"/>
                          <w:rPr>
                            <w:rFonts w:eastAsia="宋体"/>
                            <w:bCs/>
                            <w:sz w:val="21"/>
                            <w:szCs w:val="21"/>
                          </w:rPr>
                        </w:pPr>
                        <w:r>
                          <w:rPr>
                            <w:rFonts w:eastAsia="宋体"/>
                            <w:bCs/>
                            <w:sz w:val="21"/>
                            <w:szCs w:val="21"/>
                          </w:rPr>
                          <w:t>接卸油、储罐、加油机</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非甲烷总烃</w:t>
                        </w:r>
                      </w:p>
                    </w:tc>
                    <w:tc>
                      <w:tcPr>
                        <w:tcW w:w="3153" w:type="dxa"/>
                        <w:tcBorders>
                          <w:top w:val="single" w:color="auto" w:sz="4" w:space="0"/>
                          <w:bottom w:val="single" w:color="auto" w:sz="4" w:space="0"/>
                        </w:tcBorders>
                        <w:vAlign w:val="center"/>
                      </w:tcPr>
                      <w:p>
                        <w:pPr>
                          <w:snapToGrid w:val="0"/>
                          <w:spacing w:line="280" w:lineRule="exact"/>
                          <w:jc w:val="center"/>
                          <w:rPr>
                            <w:rFonts w:eastAsia="宋体"/>
                            <w:bCs/>
                            <w:sz w:val="21"/>
                            <w:szCs w:val="21"/>
                          </w:rPr>
                        </w:pPr>
                        <w:r>
                          <w:rPr>
                            <w:rFonts w:hint="eastAsia" w:eastAsia="宋体"/>
                            <w:bCs/>
                            <w:sz w:val="21"/>
                            <w:szCs w:val="21"/>
                          </w:rPr>
                          <w:t>二级</w:t>
                        </w:r>
                        <w:r>
                          <w:rPr>
                            <w:rFonts w:eastAsia="宋体"/>
                            <w:bCs/>
                            <w:sz w:val="21"/>
                            <w:szCs w:val="21"/>
                          </w:rPr>
                          <w:t>油气回收系统</w:t>
                        </w:r>
                      </w:p>
                    </w:tc>
                    <w:tc>
                      <w:tcPr>
                        <w:tcW w:w="2256" w:type="dxa"/>
                        <w:vAlign w:val="center"/>
                      </w:tcPr>
                      <w:p>
                        <w:pPr>
                          <w:snapToGrid w:val="0"/>
                          <w:spacing w:line="280" w:lineRule="exact"/>
                          <w:jc w:val="center"/>
                          <w:rPr>
                            <w:rFonts w:eastAsia="宋体"/>
                            <w:bCs/>
                            <w:sz w:val="21"/>
                            <w:szCs w:val="21"/>
                          </w:rPr>
                        </w:pPr>
                        <w:r>
                          <w:rPr>
                            <w:rFonts w:eastAsia="宋体"/>
                            <w:kern w:val="0"/>
                            <w:sz w:val="21"/>
                            <w:szCs w:val="21"/>
                          </w:rPr>
                          <w:t>回收</w:t>
                        </w:r>
                        <w:r>
                          <w:rPr>
                            <w:rFonts w:eastAsia="宋体"/>
                            <w:sz w:val="21"/>
                            <w:szCs w:val="21"/>
                          </w:rPr>
                          <w:t>装置排气口油气浓度</w:t>
                        </w:r>
                        <w:r>
                          <w:rPr>
                            <w:rFonts w:hint="eastAsia" w:eastAsia="宋体"/>
                            <w:sz w:val="21"/>
                            <w:szCs w:val="21"/>
                          </w:rPr>
                          <w:t>满足</w:t>
                        </w:r>
                        <w:r>
                          <w:rPr>
                            <w:rFonts w:eastAsia="宋体"/>
                            <w:sz w:val="21"/>
                            <w:szCs w:val="21"/>
                          </w:rPr>
                          <w:t>《加油站大气污染物排放标准》（GB20952-2007）</w:t>
                        </w:r>
                        <w:r>
                          <w:rPr>
                            <w:rFonts w:hint="eastAsia" w:eastAsia="宋体"/>
                            <w:sz w:val="21"/>
                            <w:szCs w:val="21"/>
                          </w:rPr>
                          <w:t>；厂界满足《大气污染物综合排放标准》（GB16297-1996）表2要求</w:t>
                        </w:r>
                      </w:p>
                    </w:tc>
                    <w:tc>
                      <w:tcPr>
                        <w:tcW w:w="576" w:type="dxa"/>
                        <w:vMerge w:val="restart"/>
                        <w:vAlign w:val="center"/>
                      </w:tcPr>
                      <w:p>
                        <w:pPr>
                          <w:spacing w:line="280" w:lineRule="exact"/>
                          <w:jc w:val="center"/>
                          <w:rPr>
                            <w:rFonts w:eastAsia="宋体"/>
                            <w:bCs/>
                            <w:sz w:val="21"/>
                            <w:szCs w:val="21"/>
                          </w:rPr>
                        </w:pPr>
                        <w:r>
                          <w:rPr>
                            <w:rFonts w:eastAsia="宋体"/>
                            <w:bCs/>
                            <w:sz w:val="21"/>
                            <w:szCs w:val="21"/>
                          </w:rPr>
                          <w:t>与主体工程同时设计、同时施工、同时运行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生活污水</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COD、SS、NH</w:t>
                        </w:r>
                        <w:r>
                          <w:rPr>
                            <w:rFonts w:eastAsia="宋体"/>
                            <w:bCs/>
                            <w:sz w:val="21"/>
                            <w:szCs w:val="21"/>
                            <w:vertAlign w:val="subscript"/>
                          </w:rPr>
                          <w:t>3</w:t>
                        </w:r>
                        <w:r>
                          <w:rPr>
                            <w:rFonts w:eastAsia="宋体"/>
                            <w:bCs/>
                            <w:sz w:val="21"/>
                            <w:szCs w:val="21"/>
                          </w:rPr>
                          <w:t>-N、TP</w:t>
                        </w:r>
                        <w:r>
                          <w:rPr>
                            <w:rFonts w:hint="eastAsia" w:eastAsia="宋体"/>
                            <w:bCs/>
                            <w:sz w:val="21"/>
                            <w:szCs w:val="21"/>
                          </w:rPr>
                          <w:t>、TN</w:t>
                        </w:r>
                      </w:p>
                    </w:tc>
                    <w:tc>
                      <w:tcPr>
                        <w:tcW w:w="3153"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化粪池</w:t>
                        </w:r>
                      </w:p>
                    </w:tc>
                    <w:tc>
                      <w:tcPr>
                        <w:tcW w:w="2256" w:type="dxa"/>
                        <w:vAlign w:val="center"/>
                      </w:tcPr>
                      <w:p>
                        <w:pPr>
                          <w:adjustRightInd w:val="0"/>
                          <w:snapToGrid w:val="0"/>
                          <w:spacing w:line="320" w:lineRule="exact"/>
                          <w:jc w:val="center"/>
                          <w:rPr>
                            <w:rFonts w:eastAsia="宋体"/>
                            <w:bCs/>
                            <w:sz w:val="21"/>
                            <w:szCs w:val="21"/>
                          </w:rPr>
                        </w:pPr>
                        <w:r>
                          <w:rPr>
                            <w:rFonts w:hint="eastAsia" w:eastAsia="宋体"/>
                            <w:bCs/>
                            <w:sz w:val="21"/>
                            <w:szCs w:val="21"/>
                          </w:rPr>
                          <w:t>满足</w:t>
                        </w:r>
                        <w:r>
                          <w:rPr>
                            <w:rFonts w:eastAsia="宋体"/>
                            <w:bCs/>
                            <w:sz w:val="21"/>
                            <w:szCs w:val="21"/>
                          </w:rPr>
                          <w:t>沭阳县城东污水处理</w:t>
                        </w:r>
                        <w:r>
                          <w:rPr>
                            <w:rFonts w:hint="eastAsia" w:eastAsia="宋体"/>
                            <w:bCs/>
                            <w:sz w:val="21"/>
                            <w:szCs w:val="21"/>
                          </w:rPr>
                          <w:t>厂接管标准</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地下水</w:t>
                        </w:r>
                      </w:p>
                    </w:tc>
                    <w:tc>
                      <w:tcPr>
                        <w:tcW w:w="1136"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石油类</w:t>
                        </w:r>
                      </w:p>
                    </w:tc>
                    <w:tc>
                      <w:tcPr>
                        <w:tcW w:w="3153" w:type="dxa"/>
                        <w:tcBorders>
                          <w:top w:val="single" w:color="auto" w:sz="4" w:space="0"/>
                          <w:bottom w:val="single" w:color="auto" w:sz="4" w:space="0"/>
                        </w:tcBorders>
                        <w:vAlign w:val="center"/>
                      </w:tcPr>
                      <w:p>
                        <w:pPr>
                          <w:adjustRightInd w:val="0"/>
                          <w:snapToGrid w:val="0"/>
                          <w:spacing w:line="320" w:lineRule="exact"/>
                          <w:jc w:val="center"/>
                          <w:rPr>
                            <w:rFonts w:eastAsia="宋体"/>
                            <w:bCs/>
                            <w:sz w:val="21"/>
                            <w:szCs w:val="21"/>
                          </w:rPr>
                        </w:pPr>
                        <w:r>
                          <w:rPr>
                            <w:rFonts w:eastAsia="宋体"/>
                            <w:bCs/>
                            <w:sz w:val="21"/>
                            <w:szCs w:val="21"/>
                          </w:rPr>
                          <w:t>双层储油罐、埋地管道均采用环氧煤沥青加强级防腐处理；设置防漏罐池，把油罐放置在防漏罐池内，双层油罐、防渗罐池的渗漏检测采用在线监测系统</w:t>
                        </w:r>
                      </w:p>
                    </w:tc>
                    <w:tc>
                      <w:tcPr>
                        <w:tcW w:w="2256" w:type="dxa"/>
                        <w:vAlign w:val="center"/>
                      </w:tcPr>
                      <w:p>
                        <w:pPr>
                          <w:adjustRightInd w:val="0"/>
                          <w:snapToGrid w:val="0"/>
                          <w:spacing w:line="320" w:lineRule="exact"/>
                          <w:jc w:val="center"/>
                          <w:rPr>
                            <w:rFonts w:eastAsia="宋体"/>
                            <w:bCs/>
                            <w:sz w:val="21"/>
                            <w:szCs w:val="21"/>
                          </w:rPr>
                        </w:pPr>
                        <w:r>
                          <w:rPr>
                            <w:rFonts w:eastAsia="宋体"/>
                            <w:bCs/>
                            <w:sz w:val="21"/>
                            <w:szCs w:val="21"/>
                          </w:rPr>
                          <w:t>满足环保要求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固废</w:t>
                        </w:r>
                      </w:p>
                    </w:tc>
                    <w:tc>
                      <w:tcPr>
                        <w:tcW w:w="1136"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eastAsia="宋体"/>
                            <w:bCs/>
                            <w:sz w:val="21"/>
                            <w:szCs w:val="21"/>
                          </w:rPr>
                          <w:t>生活垃圾</w:t>
                        </w:r>
                        <w:r>
                          <w:rPr>
                            <w:rFonts w:hint="eastAsia" w:eastAsia="宋体"/>
                            <w:sz w:val="21"/>
                            <w:szCs w:val="21"/>
                          </w:rPr>
                          <w:t>；</w:t>
                        </w:r>
                        <w:r>
                          <w:rPr>
                            <w:rFonts w:eastAsia="宋体"/>
                            <w:bCs/>
                            <w:sz w:val="21"/>
                            <w:szCs w:val="21"/>
                          </w:rPr>
                          <w:t>废油、油渣</w:t>
                        </w:r>
                      </w:p>
                    </w:tc>
                    <w:tc>
                      <w:tcPr>
                        <w:tcW w:w="3153" w:type="dxa"/>
                        <w:tcBorders>
                          <w:top w:val="single" w:color="auto" w:sz="4" w:space="0"/>
                          <w:bottom w:val="single" w:color="auto" w:sz="4" w:space="0"/>
                        </w:tcBorders>
                        <w:vAlign w:val="center"/>
                      </w:tcPr>
                      <w:p>
                        <w:pPr>
                          <w:spacing w:line="280" w:lineRule="exact"/>
                          <w:jc w:val="center"/>
                          <w:rPr>
                            <w:rFonts w:eastAsia="宋体"/>
                            <w:bCs/>
                            <w:sz w:val="21"/>
                            <w:szCs w:val="21"/>
                          </w:rPr>
                        </w:pPr>
                        <w:r>
                          <w:rPr>
                            <w:rFonts w:hint="eastAsia" w:eastAsia="宋体"/>
                            <w:sz w:val="21"/>
                            <w:szCs w:val="21"/>
                          </w:rPr>
                          <w:t>生活垃圾委托环卫部门定期清运</w:t>
                        </w:r>
                        <w:r>
                          <w:rPr>
                            <w:rFonts w:hint="eastAsia" w:eastAsia="宋体"/>
                            <w:bCs/>
                            <w:sz w:val="21"/>
                            <w:szCs w:val="21"/>
                          </w:rPr>
                          <w:t>；</w:t>
                        </w:r>
                        <w:r>
                          <w:rPr>
                            <w:rFonts w:eastAsia="宋体"/>
                            <w:bCs/>
                            <w:sz w:val="21"/>
                            <w:szCs w:val="21"/>
                          </w:rPr>
                          <w:t>废油、油渣委托有资质单位安全处置</w:t>
                        </w:r>
                      </w:p>
                    </w:tc>
                    <w:tc>
                      <w:tcPr>
                        <w:tcW w:w="22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sz w:val="21"/>
                            <w:szCs w:val="21"/>
                          </w:rPr>
                        </w:pPr>
                        <w:r>
                          <w:rPr>
                            <w:rFonts w:eastAsia="宋体"/>
                            <w:bCs/>
                            <w:sz w:val="21"/>
                            <w:szCs w:val="21"/>
                          </w:rPr>
                          <w:t>噪声</w:t>
                        </w:r>
                      </w:p>
                    </w:tc>
                    <w:tc>
                      <w:tcPr>
                        <w:tcW w:w="1136" w:type="dxa"/>
                        <w:vAlign w:val="center"/>
                      </w:tcPr>
                      <w:p>
                        <w:pPr>
                          <w:spacing w:line="280" w:lineRule="exact"/>
                          <w:jc w:val="center"/>
                          <w:rPr>
                            <w:rFonts w:eastAsia="宋体"/>
                            <w:bCs/>
                            <w:sz w:val="21"/>
                            <w:szCs w:val="21"/>
                          </w:rPr>
                        </w:pPr>
                        <w:r>
                          <w:rPr>
                            <w:rFonts w:eastAsia="宋体"/>
                            <w:bCs/>
                            <w:sz w:val="21"/>
                            <w:szCs w:val="21"/>
                          </w:rPr>
                          <w:t>加油车辆、加油机及各种泵类设备</w:t>
                        </w:r>
                      </w:p>
                    </w:tc>
                    <w:tc>
                      <w:tcPr>
                        <w:tcW w:w="3153" w:type="dxa"/>
                        <w:vAlign w:val="center"/>
                      </w:tcPr>
                      <w:p>
                        <w:pPr>
                          <w:spacing w:line="280" w:lineRule="exact"/>
                          <w:jc w:val="center"/>
                          <w:rPr>
                            <w:rFonts w:eastAsia="宋体"/>
                            <w:bCs/>
                            <w:sz w:val="21"/>
                            <w:szCs w:val="21"/>
                          </w:rPr>
                        </w:pPr>
                        <w:r>
                          <w:rPr>
                            <w:rFonts w:eastAsia="宋体"/>
                            <w:bCs/>
                            <w:sz w:val="21"/>
                            <w:szCs w:val="21"/>
                          </w:rPr>
                          <w:t>降噪、隔声、设备合理布局</w:t>
                        </w:r>
                      </w:p>
                    </w:tc>
                    <w:tc>
                      <w:tcPr>
                        <w:tcW w:w="2256" w:type="dxa"/>
                        <w:vAlign w:val="center"/>
                      </w:tcPr>
                      <w:p>
                        <w:pPr>
                          <w:spacing w:line="280" w:lineRule="exact"/>
                          <w:jc w:val="center"/>
                          <w:rPr>
                            <w:rFonts w:eastAsia="宋体"/>
                            <w:bCs/>
                            <w:sz w:val="21"/>
                            <w:szCs w:val="21"/>
                          </w:rPr>
                        </w:pPr>
                        <w:r>
                          <w:rPr>
                            <w:rFonts w:eastAsia="宋体"/>
                            <w:bCs/>
                            <w:sz w:val="21"/>
                            <w:szCs w:val="21"/>
                          </w:rPr>
                          <w:t>厂界噪声满足《工业企业厂界环境噪声排放标准》（GB12348-2008）中的</w:t>
                        </w:r>
                        <w:r>
                          <w:rPr>
                            <w:rFonts w:hint="eastAsia" w:eastAsia="宋体"/>
                            <w:bCs/>
                            <w:sz w:val="21"/>
                            <w:szCs w:val="21"/>
                          </w:rPr>
                          <w:t>2</w:t>
                        </w:r>
                        <w:r>
                          <w:rPr>
                            <w:rFonts w:eastAsia="宋体"/>
                            <w:bCs/>
                            <w:sz w:val="21"/>
                            <w:szCs w:val="21"/>
                          </w:rPr>
                          <w:t>类标准值</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1" w:type="dxa"/>
                        <w:vMerge w:val="continue"/>
                        <w:vAlign w:val="center"/>
                      </w:tcPr>
                      <w:p>
                        <w:pPr>
                          <w:spacing w:line="280" w:lineRule="exact"/>
                          <w:jc w:val="center"/>
                          <w:rPr>
                            <w:rFonts w:eastAsia="宋体"/>
                            <w:bCs/>
                            <w:sz w:val="21"/>
                            <w:szCs w:val="21"/>
                          </w:rPr>
                        </w:pPr>
                      </w:p>
                    </w:tc>
                    <w:tc>
                      <w:tcPr>
                        <w:tcW w:w="1309" w:type="dxa"/>
                        <w:vAlign w:val="center"/>
                      </w:tcPr>
                      <w:p>
                        <w:pPr>
                          <w:spacing w:line="280" w:lineRule="exact"/>
                          <w:jc w:val="center"/>
                          <w:rPr>
                            <w:rFonts w:eastAsia="宋体"/>
                            <w:bCs/>
                            <w:sz w:val="21"/>
                            <w:szCs w:val="21"/>
                          </w:rPr>
                        </w:pPr>
                        <w:r>
                          <w:rPr>
                            <w:rFonts w:eastAsia="宋体"/>
                            <w:bCs/>
                            <w:sz w:val="21"/>
                            <w:szCs w:val="21"/>
                          </w:rPr>
                          <w:t>风险</w:t>
                        </w:r>
                      </w:p>
                    </w:tc>
                    <w:tc>
                      <w:tcPr>
                        <w:tcW w:w="1136" w:type="dxa"/>
                        <w:vAlign w:val="center"/>
                      </w:tcPr>
                      <w:p>
                        <w:pPr>
                          <w:spacing w:line="280" w:lineRule="exact"/>
                          <w:jc w:val="center"/>
                          <w:rPr>
                            <w:rFonts w:eastAsia="宋体"/>
                            <w:bCs/>
                            <w:sz w:val="21"/>
                            <w:szCs w:val="21"/>
                          </w:rPr>
                        </w:pPr>
                        <w:r>
                          <w:rPr>
                            <w:rFonts w:eastAsia="宋体"/>
                            <w:bCs/>
                            <w:sz w:val="21"/>
                            <w:szCs w:val="21"/>
                          </w:rPr>
                          <w:t>/</w:t>
                        </w:r>
                      </w:p>
                    </w:tc>
                    <w:tc>
                      <w:tcPr>
                        <w:tcW w:w="3153" w:type="dxa"/>
                        <w:vAlign w:val="center"/>
                      </w:tcPr>
                      <w:p>
                        <w:pPr>
                          <w:spacing w:line="280" w:lineRule="exact"/>
                          <w:jc w:val="center"/>
                          <w:rPr>
                            <w:rFonts w:eastAsia="宋体"/>
                            <w:bCs/>
                            <w:sz w:val="21"/>
                            <w:szCs w:val="21"/>
                          </w:rPr>
                        </w:pPr>
                        <w:r>
                          <w:rPr>
                            <w:rFonts w:eastAsia="宋体"/>
                            <w:bCs/>
                            <w:sz w:val="21"/>
                            <w:szCs w:val="21"/>
                          </w:rPr>
                          <w:t>设置泄漏在线监测报警系统；制定环境应急预案，加强应急演练；定期补充更换应急物资等</w:t>
                        </w:r>
                      </w:p>
                    </w:tc>
                    <w:tc>
                      <w:tcPr>
                        <w:tcW w:w="2256" w:type="dxa"/>
                        <w:vAlign w:val="center"/>
                      </w:tcPr>
                      <w:p>
                        <w:pPr>
                          <w:spacing w:line="280" w:lineRule="exact"/>
                          <w:jc w:val="center"/>
                          <w:rPr>
                            <w:rFonts w:eastAsia="宋体"/>
                            <w:bCs/>
                            <w:sz w:val="21"/>
                            <w:szCs w:val="21"/>
                          </w:rPr>
                        </w:pPr>
                        <w:r>
                          <w:rPr>
                            <w:rFonts w:eastAsia="宋体"/>
                            <w:bCs/>
                            <w:sz w:val="21"/>
                            <w:szCs w:val="21"/>
                          </w:rPr>
                          <w:t>满足环境管理要求</w:t>
                        </w:r>
                      </w:p>
                    </w:tc>
                    <w:tc>
                      <w:tcPr>
                        <w:tcW w:w="576" w:type="dxa"/>
                        <w:vMerge w:val="continue"/>
                        <w:vAlign w:val="center"/>
                      </w:tcPr>
                      <w:p>
                        <w:pPr>
                          <w:spacing w:line="280" w:lineRule="exact"/>
                          <w:jc w:val="center"/>
                          <w:rPr>
                            <w:rFonts w:eastAsia="宋体"/>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3"/>
                        <w:vAlign w:val="center"/>
                      </w:tcPr>
                      <w:p>
                        <w:pPr>
                          <w:spacing w:line="280" w:lineRule="exact"/>
                          <w:jc w:val="center"/>
                          <w:rPr>
                            <w:rFonts w:eastAsia="宋体"/>
                            <w:bCs/>
                            <w:sz w:val="21"/>
                            <w:szCs w:val="21"/>
                          </w:rPr>
                        </w:pPr>
                        <w:r>
                          <w:rPr>
                            <w:rFonts w:eastAsia="宋体"/>
                            <w:bCs/>
                            <w:sz w:val="21"/>
                            <w:szCs w:val="21"/>
                          </w:rPr>
                          <w:t>清污分流、排污口规范化设置</w:t>
                        </w:r>
                      </w:p>
                    </w:tc>
                    <w:tc>
                      <w:tcPr>
                        <w:tcW w:w="3153" w:type="dxa"/>
                        <w:vAlign w:val="center"/>
                      </w:tcPr>
                      <w:p>
                        <w:pPr>
                          <w:spacing w:line="280" w:lineRule="exact"/>
                          <w:jc w:val="center"/>
                          <w:rPr>
                            <w:rFonts w:eastAsia="宋体"/>
                            <w:bCs/>
                            <w:sz w:val="21"/>
                            <w:szCs w:val="21"/>
                          </w:rPr>
                        </w:pPr>
                        <w:r>
                          <w:rPr>
                            <w:rFonts w:eastAsia="宋体"/>
                            <w:bCs/>
                            <w:sz w:val="21"/>
                            <w:szCs w:val="21"/>
                          </w:rPr>
                          <w:t>排污口规范化设置，雨污分流</w:t>
                        </w:r>
                      </w:p>
                    </w:tc>
                    <w:tc>
                      <w:tcPr>
                        <w:tcW w:w="2832" w:type="dxa"/>
                        <w:gridSpan w:val="2"/>
                        <w:vAlign w:val="center"/>
                      </w:tcPr>
                      <w:p>
                        <w:pPr>
                          <w:spacing w:line="280" w:lineRule="exact"/>
                          <w:jc w:val="center"/>
                          <w:rPr>
                            <w:rFonts w:eastAsia="宋体"/>
                            <w:bCs/>
                            <w:sz w:val="21"/>
                            <w:szCs w:val="21"/>
                          </w:rPr>
                        </w:pPr>
                        <w:r>
                          <w:rPr>
                            <w:rFonts w:eastAsia="宋体"/>
                            <w:sz w:val="21"/>
                            <w:szCs w:val="21"/>
                          </w:rPr>
                          <w:t>满足《江苏省排污口设置及规范化整治管理办法》的要求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956" w:type="dxa"/>
                        <w:gridSpan w:val="3"/>
                        <w:vAlign w:val="center"/>
                      </w:tcPr>
                      <w:p>
                        <w:pPr>
                          <w:spacing w:line="280" w:lineRule="exact"/>
                          <w:jc w:val="center"/>
                          <w:rPr>
                            <w:rFonts w:eastAsia="宋体"/>
                            <w:bCs/>
                            <w:sz w:val="21"/>
                            <w:szCs w:val="21"/>
                          </w:rPr>
                        </w:pPr>
                        <w:r>
                          <w:rPr>
                            <w:rFonts w:eastAsia="宋体"/>
                            <w:sz w:val="21"/>
                            <w:szCs w:val="21"/>
                          </w:rPr>
                          <w:t>总量平衡具体方案</w:t>
                        </w:r>
                      </w:p>
                    </w:tc>
                    <w:tc>
                      <w:tcPr>
                        <w:tcW w:w="5985" w:type="dxa"/>
                        <w:gridSpan w:val="3"/>
                        <w:vAlign w:val="center"/>
                      </w:tcPr>
                      <w:p>
                        <w:pPr>
                          <w:spacing w:line="280" w:lineRule="exact"/>
                          <w:rPr>
                            <w:rFonts w:eastAsia="宋体"/>
                            <w:sz w:val="21"/>
                            <w:szCs w:val="21"/>
                          </w:rPr>
                        </w:pPr>
                        <w:r>
                          <w:rPr>
                            <w:rFonts w:hint="eastAsia" w:eastAsia="宋体"/>
                            <w:sz w:val="21"/>
                            <w:szCs w:val="21"/>
                          </w:rPr>
                          <w:t>废水：废水接管考核量：废水量≤759.2t/a、COD≤0.228t/a、SS≤0.15t/a、氨氮≤0.019t/a、TP ≤0.0023t/a、TN ≤0.034t/a，</w:t>
                        </w:r>
                      </w:p>
                      <w:p>
                        <w:pPr>
                          <w:spacing w:line="280" w:lineRule="exact"/>
                          <w:rPr>
                            <w:rFonts w:eastAsia="宋体"/>
                            <w:sz w:val="21"/>
                            <w:szCs w:val="21"/>
                          </w:rPr>
                        </w:pPr>
                        <w:r>
                          <w:rPr>
                            <w:rFonts w:hint="eastAsia" w:eastAsia="宋体"/>
                            <w:sz w:val="21"/>
                            <w:szCs w:val="21"/>
                          </w:rPr>
                          <w:t>废水最终排放量：废水量≤759.2t/a、COD≤0.038t/a、SS≤0.0076t/a、氨氮≤0.0038t/a（0.0061t/a）、TP ≤0.00038t/a、TN≤0.0114t/a。</w:t>
                        </w:r>
                      </w:p>
                      <w:p>
                        <w:pPr>
                          <w:spacing w:line="280" w:lineRule="exact"/>
                          <w:rPr>
                            <w:rFonts w:eastAsia="宋体"/>
                            <w:bCs/>
                            <w:sz w:val="21"/>
                            <w:szCs w:val="21"/>
                          </w:rPr>
                        </w:pPr>
                        <w:r>
                          <w:rPr>
                            <w:rFonts w:hint="eastAsia" w:eastAsia="宋体"/>
                            <w:sz w:val="21"/>
                            <w:szCs w:val="21"/>
                          </w:rPr>
                          <w:t>固废：零排放。</w:t>
                        </w:r>
                      </w:p>
                    </w:tc>
                  </w:tr>
                </w:tbl>
                <w:p>
                  <w:pPr>
                    <w:autoSpaceDE w:val="0"/>
                    <w:autoSpaceDN w:val="0"/>
                    <w:adjustRightInd w:val="0"/>
                    <w:spacing w:line="500" w:lineRule="exact"/>
                    <w:ind w:firstLine="535" w:firstLineChars="222"/>
                    <w:rPr>
                      <w:rFonts w:eastAsia="宋体"/>
                      <w:b/>
                      <w:bCs/>
                      <w:sz w:val="24"/>
                      <w:szCs w:val="24"/>
                    </w:rPr>
                  </w:pPr>
                  <w:r>
                    <w:rPr>
                      <w:rFonts w:eastAsia="宋体"/>
                      <w:b/>
                      <w:bCs/>
                      <w:sz w:val="24"/>
                      <w:szCs w:val="24"/>
                    </w:rPr>
                    <w:t>综上所述，项目的建设符合国家</w:t>
                  </w:r>
                  <w:r>
                    <w:rPr>
                      <w:rFonts w:hint="eastAsia" w:eastAsia="宋体"/>
                      <w:b/>
                      <w:bCs/>
                      <w:sz w:val="24"/>
                      <w:szCs w:val="24"/>
                    </w:rPr>
                    <w:t>及地方</w:t>
                  </w:r>
                  <w:r>
                    <w:rPr>
                      <w:rFonts w:eastAsia="宋体"/>
                      <w:b/>
                      <w:bCs/>
                      <w:sz w:val="24"/>
                      <w:szCs w:val="24"/>
                    </w:rPr>
                    <w:t>产业政策，选址合理，在正常</w:t>
                  </w:r>
                  <w:r>
                    <w:rPr>
                      <w:rFonts w:hint="eastAsia" w:eastAsia="宋体"/>
                      <w:b/>
                      <w:bCs/>
                      <w:sz w:val="24"/>
                      <w:szCs w:val="24"/>
                    </w:rPr>
                    <w:t>营运</w:t>
                  </w:r>
                  <w:r>
                    <w:rPr>
                      <w:rFonts w:eastAsia="宋体"/>
                      <w:b/>
                      <w:bCs/>
                      <w:sz w:val="24"/>
                      <w:szCs w:val="24"/>
                    </w:rPr>
                    <w:t>期间，</w:t>
                  </w:r>
                  <w:r>
                    <w:rPr>
                      <w:rFonts w:hint="eastAsia" w:eastAsia="宋体"/>
                      <w:b/>
                      <w:bCs/>
                      <w:sz w:val="24"/>
                      <w:szCs w:val="24"/>
                    </w:rPr>
                    <w:t>只要认真落实本项目环境影响报告的减缓措施及建议，项目的环境影响将得到有效控制。从环境保护角度分析，本项目的建设是可行的。</w:t>
                  </w:r>
                </w:p>
                <w:p>
                  <w:pPr>
                    <w:autoSpaceDE w:val="0"/>
                    <w:autoSpaceDN w:val="0"/>
                    <w:adjustRightInd w:val="0"/>
                    <w:spacing w:line="500" w:lineRule="exact"/>
                    <w:rPr>
                      <w:rFonts w:eastAsia="宋体"/>
                      <w:b/>
                      <w:sz w:val="24"/>
                      <w:szCs w:val="24"/>
                    </w:rPr>
                  </w:pPr>
                  <w:r>
                    <w:rPr>
                      <w:rFonts w:eastAsia="宋体"/>
                      <w:b/>
                      <w:sz w:val="24"/>
                      <w:szCs w:val="24"/>
                    </w:rPr>
                    <w:t>二、建议</w:t>
                  </w:r>
                </w:p>
                <w:p>
                  <w:pPr>
                    <w:spacing w:line="500" w:lineRule="exact"/>
                    <w:ind w:firstLine="480" w:firstLineChars="200"/>
                    <w:rPr>
                      <w:rFonts w:eastAsia="宋体"/>
                      <w:bCs/>
                      <w:sz w:val="24"/>
                      <w:szCs w:val="24"/>
                    </w:rPr>
                  </w:pPr>
                  <w:r>
                    <w:rPr>
                      <w:rFonts w:eastAsia="宋体"/>
                      <w:bCs/>
                      <w:sz w:val="24"/>
                      <w:szCs w:val="24"/>
                    </w:rPr>
                    <w:t>1、建设单位应当加强日常环境管理工作，提高员工的环保意识与自身素质。</w:t>
                  </w:r>
                </w:p>
                <w:p>
                  <w:pPr>
                    <w:spacing w:line="500" w:lineRule="exact"/>
                    <w:ind w:firstLine="480" w:firstLineChars="200"/>
                    <w:rPr>
                      <w:rFonts w:eastAsia="宋体"/>
                      <w:bCs/>
                      <w:sz w:val="24"/>
                      <w:szCs w:val="24"/>
                    </w:rPr>
                  </w:pPr>
                  <w:r>
                    <w:rPr>
                      <w:rFonts w:eastAsia="宋体"/>
                      <w:bCs/>
                      <w:sz w:val="24"/>
                      <w:szCs w:val="24"/>
                    </w:rPr>
                    <w:t>2、</w:t>
                  </w:r>
                  <w:r>
                    <w:rPr>
                      <w:rFonts w:hint="eastAsia" w:eastAsia="宋体"/>
                      <w:bCs/>
                      <w:sz w:val="24"/>
                      <w:szCs w:val="24"/>
                    </w:rPr>
                    <w:t>对油料的运输贮存、输送设备应加强管理与维护，杜绝出现各有关设备跑、冒、漏现象和人为导致的安全事故。对可能产生泄漏的储油设备，应加建防泄漏设施和油品收集设施。万一发生事故后必须及时通知安全、消防、生态环境行政主管部门，共同防止安全和污染事故事态的扩大。加油站必须制定事故预案，配备相应的专业防火和应急器材。</w:t>
                  </w:r>
                </w:p>
                <w:p>
                  <w:pPr>
                    <w:spacing w:line="500" w:lineRule="exact"/>
                    <w:ind w:firstLine="480" w:firstLineChars="200"/>
                    <w:rPr>
                      <w:rFonts w:eastAsia="宋体"/>
                      <w:bCs/>
                      <w:sz w:val="24"/>
                      <w:szCs w:val="24"/>
                    </w:rPr>
                  </w:pPr>
                  <w:r>
                    <w:rPr>
                      <w:rFonts w:eastAsia="宋体"/>
                      <w:bCs/>
                      <w:sz w:val="24"/>
                      <w:szCs w:val="24"/>
                    </w:rPr>
                    <w:t>3、</w:t>
                  </w:r>
                  <w:r>
                    <w:rPr>
                      <w:rFonts w:hint="eastAsia" w:eastAsia="宋体"/>
                      <w:bCs/>
                      <w:sz w:val="24"/>
                      <w:szCs w:val="24"/>
                    </w:rPr>
                    <w:t>定期对操作失员进行安全生产与知识培训，并制定严格的操作规程，切实加强油料贮存、输送生产过程中的安全控制，保证生产安全、防止意外事故发生。</w:t>
                  </w:r>
                </w:p>
                <w:p>
                  <w:pPr>
                    <w:spacing w:line="500" w:lineRule="exact"/>
                    <w:ind w:firstLine="480" w:firstLineChars="200"/>
                    <w:rPr>
                      <w:rFonts w:eastAsia="宋体"/>
                      <w:bCs/>
                      <w:sz w:val="24"/>
                      <w:szCs w:val="24"/>
                    </w:rPr>
                  </w:pPr>
                  <w:r>
                    <w:rPr>
                      <w:rFonts w:eastAsia="宋体"/>
                      <w:bCs/>
                      <w:sz w:val="24"/>
                      <w:szCs w:val="24"/>
                    </w:rPr>
                    <w:t>4、加强站区绿化，以美化工作环境，同时起到隔声、降噪及净化空气的作用。</w:t>
                  </w:r>
                </w:p>
                <w:p>
                  <w:pPr>
                    <w:spacing w:line="500" w:lineRule="exact"/>
                    <w:ind w:firstLine="480" w:firstLineChars="200"/>
                    <w:rPr>
                      <w:rFonts w:eastAsia="宋体"/>
                      <w:bCs/>
                      <w:sz w:val="24"/>
                      <w:szCs w:val="24"/>
                    </w:rPr>
                  </w:pPr>
                  <w:r>
                    <w:rPr>
                      <w:rFonts w:eastAsia="宋体"/>
                      <w:bCs/>
                      <w:sz w:val="24"/>
                      <w:szCs w:val="24"/>
                    </w:rPr>
                    <w:t>5、加强环保设施的维护和管理，保证设备正常运行。</w:t>
                  </w:r>
                </w:p>
              </w:tc>
            </w:tr>
          </w:tbl>
          <w:p>
            <w:pPr>
              <w:rPr>
                <w:rFonts w:eastAsia="宋体"/>
                <w:szCs w:val="24"/>
              </w:rPr>
            </w:pPr>
          </w:p>
        </w:tc>
      </w:tr>
    </w:tbl>
    <w:p>
      <w:pPr>
        <w:pStyle w:val="25"/>
        <w:ind w:firstLine="0" w:firstLineChars="0"/>
        <w:rPr>
          <w:rFonts w:eastAsia="宋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预审意见：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rPr>
                <w:rFonts w:eastAsia="宋体"/>
                <w:sz w:val="24"/>
                <w:szCs w:val="24"/>
              </w:rPr>
            </w:pPr>
          </w:p>
          <w:p>
            <w:pPr>
              <w:ind w:right="140" w:rightChars="50" w:firstLine="600" w:firstLineChars="25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firstLine="0" w:firstLineChars="0"/>
              <w:jc w:val="right"/>
              <w:rPr>
                <w:rFonts w:eastAsia="宋体"/>
                <w:szCs w:val="24"/>
              </w:rPr>
            </w:pPr>
            <w:r>
              <w:rPr>
                <w:rFonts w:eastAsia="宋体"/>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trPr>
        <w:tc>
          <w:tcPr>
            <w:tcW w:w="9286" w:type="dxa"/>
          </w:tcPr>
          <w:p>
            <w:pPr>
              <w:ind w:right="140" w:rightChars="50"/>
              <w:rPr>
                <w:rFonts w:eastAsia="宋体"/>
                <w:sz w:val="24"/>
                <w:szCs w:val="24"/>
              </w:rPr>
            </w:pPr>
            <w:r>
              <w:rPr>
                <w:rFonts w:eastAsia="宋体"/>
                <w:sz w:val="24"/>
                <w:szCs w:val="24"/>
              </w:rPr>
              <w:t>下一级环境保护行政主管部门审查意见：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20" w:firstLineChars="300"/>
              <w:rPr>
                <w:rFonts w:eastAsia="宋体"/>
                <w:sz w:val="24"/>
                <w:szCs w:val="24"/>
              </w:rPr>
            </w:pPr>
            <w:r>
              <w:rPr>
                <w:rFonts w:eastAsia="宋体"/>
                <w:sz w:val="24"/>
                <w:szCs w:val="24"/>
              </w:rPr>
              <w:t>经办人（签字）</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pStyle w:val="61"/>
              <w:wordWrap w:val="0"/>
              <w:spacing w:line="360" w:lineRule="auto"/>
              <w:ind w:firstLine="0" w:firstLineChars="0"/>
              <w:jc w:val="right"/>
              <w:rPr>
                <w:rFonts w:eastAsia="宋体"/>
                <w:szCs w:val="24"/>
              </w:rPr>
            </w:pPr>
          </w:p>
          <w:p>
            <w:pPr>
              <w:pStyle w:val="61"/>
              <w:wordWrap w:val="0"/>
              <w:spacing w:line="360" w:lineRule="auto"/>
              <w:ind w:right="360" w:firstLine="0" w:firstLineChars="0"/>
              <w:jc w:val="right"/>
              <w:rPr>
                <w:rFonts w:eastAsia="宋体"/>
                <w:szCs w:val="24"/>
              </w:rPr>
            </w:pPr>
            <w:r>
              <w:rPr>
                <w:rFonts w:eastAsia="宋体"/>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1"/>
              <w:spacing w:line="360" w:lineRule="auto"/>
              <w:ind w:firstLine="0" w:firstLineChars="0"/>
              <w:rPr>
                <w:rFonts w:eastAsia="宋体"/>
                <w:szCs w:val="24"/>
              </w:rPr>
            </w:pPr>
            <w:r>
              <w:rPr>
                <w:rFonts w:eastAsia="宋体"/>
                <w:szCs w:val="24"/>
              </w:rPr>
              <w:t>审批意见：</w:t>
            </w: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pStyle w:val="61"/>
              <w:spacing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经办人：</w:t>
            </w:r>
          </w:p>
          <w:p>
            <w:pPr>
              <w:pStyle w:val="61"/>
              <w:spacing w:before="120" w:beforeLines="50"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审核人：</w:t>
            </w:r>
          </w:p>
          <w:p>
            <w:pPr>
              <w:pStyle w:val="61"/>
              <w:spacing w:before="120" w:beforeLines="50" w:line="360" w:lineRule="auto"/>
              <w:ind w:firstLine="0" w:firstLineChars="0"/>
              <w:rPr>
                <w:rFonts w:eastAsia="宋体"/>
                <w:szCs w:val="24"/>
              </w:rPr>
            </w:pPr>
          </w:p>
          <w:p>
            <w:pPr>
              <w:spacing w:before="120" w:beforeLines="50"/>
              <w:ind w:right="140" w:rightChars="50"/>
              <w:rPr>
                <w:rFonts w:eastAsia="宋体"/>
                <w:sz w:val="24"/>
                <w:szCs w:val="24"/>
              </w:rPr>
            </w:pPr>
            <w:r>
              <w:rPr>
                <w:rFonts w:eastAsia="宋体"/>
                <w:sz w:val="24"/>
                <w:szCs w:val="24"/>
              </w:rPr>
              <w:t>审批人：</w:t>
            </w:r>
          </w:p>
          <w:p>
            <w:pPr>
              <w:pStyle w:val="61"/>
              <w:spacing w:line="360" w:lineRule="auto"/>
              <w:ind w:firstLine="0" w:firstLineChars="0"/>
              <w:rPr>
                <w:rFonts w:eastAsia="宋体"/>
                <w:szCs w:val="24"/>
              </w:rPr>
            </w:pPr>
          </w:p>
          <w:p>
            <w:pPr>
              <w:ind w:right="140" w:rightChars="50" w:firstLine="7320" w:firstLineChars="3050"/>
              <w:rPr>
                <w:rFonts w:eastAsia="宋体"/>
                <w:sz w:val="24"/>
                <w:szCs w:val="24"/>
              </w:rPr>
            </w:pPr>
            <w:r>
              <w:rPr>
                <w:rFonts w:eastAsia="宋体"/>
                <w:sz w:val="24"/>
                <w:szCs w:val="24"/>
              </w:rPr>
              <w:t>（公章）</w:t>
            </w:r>
          </w:p>
          <w:p>
            <w:pPr>
              <w:tabs>
                <w:tab w:val="left" w:pos="7995"/>
              </w:tabs>
              <w:ind w:right="140" w:rightChars="50"/>
              <w:rPr>
                <w:rFonts w:eastAsia="宋体"/>
                <w:sz w:val="24"/>
                <w:szCs w:val="24"/>
              </w:rPr>
            </w:pPr>
            <w:r>
              <w:rPr>
                <w:rFonts w:eastAsia="宋体"/>
                <w:sz w:val="24"/>
                <w:szCs w:val="24"/>
              </w:rPr>
              <w:tab/>
            </w:r>
          </w:p>
          <w:p>
            <w:pPr>
              <w:ind w:right="140" w:rightChars="50"/>
              <w:rPr>
                <w:rFonts w:eastAsia="宋体"/>
                <w:sz w:val="24"/>
                <w:szCs w:val="24"/>
              </w:rPr>
            </w:pPr>
            <w:r>
              <w:rPr>
                <w:rFonts w:eastAsia="宋体"/>
                <w:sz w:val="24"/>
                <w:szCs w:val="24"/>
              </w:rPr>
              <w:t xml:space="preserve">                                                       年    月    日</w:t>
            </w:r>
          </w:p>
          <w:p>
            <w:pPr>
              <w:pStyle w:val="61"/>
              <w:wordWrap w:val="0"/>
              <w:spacing w:line="360" w:lineRule="auto"/>
              <w:ind w:right="120" w:firstLine="0" w:firstLineChars="0"/>
              <w:jc w:val="right"/>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trPr>
        <w:tc>
          <w:tcPr>
            <w:tcW w:w="9286" w:type="dxa"/>
          </w:tcPr>
          <w:p>
            <w:pPr>
              <w:pStyle w:val="18"/>
              <w:rPr>
                <w:rFonts w:ascii="Times New Roman" w:hAnsi="Times New Roman" w:eastAsia="宋体"/>
                <w:sz w:val="24"/>
                <w:szCs w:val="24"/>
              </w:rPr>
            </w:pPr>
            <w:r>
              <w:rPr>
                <w:rFonts w:ascii="Times New Roman" w:hAnsi="Times New Roman" w:eastAsia="宋体"/>
                <w:sz w:val="24"/>
                <w:szCs w:val="24"/>
              </w:rPr>
              <w:t>注释</w:t>
            </w:r>
          </w:p>
          <w:p>
            <w:pPr>
              <w:pStyle w:val="61"/>
              <w:spacing w:line="360" w:lineRule="auto"/>
              <w:ind w:firstLine="480"/>
              <w:jc w:val="center"/>
              <w:rPr>
                <w:rFonts w:eastAsia="宋体"/>
                <w:szCs w:val="24"/>
              </w:rPr>
            </w:pPr>
          </w:p>
          <w:p>
            <w:pPr>
              <w:pStyle w:val="61"/>
              <w:spacing w:line="360" w:lineRule="auto"/>
              <w:ind w:firstLine="480"/>
              <w:rPr>
                <w:rFonts w:eastAsia="宋体"/>
                <w:szCs w:val="24"/>
              </w:rPr>
            </w:pPr>
            <w:r>
              <w:rPr>
                <w:rFonts w:eastAsia="宋体"/>
                <w:szCs w:val="24"/>
              </w:rPr>
              <w:t>一、本报告表应附以下附件、附图：</w:t>
            </w:r>
          </w:p>
          <w:p>
            <w:pPr>
              <w:pStyle w:val="61"/>
              <w:spacing w:line="360" w:lineRule="auto"/>
              <w:ind w:firstLine="480"/>
              <w:rPr>
                <w:rFonts w:eastAsia="宋体"/>
                <w:szCs w:val="24"/>
              </w:rPr>
            </w:pPr>
            <w:r>
              <w:rPr>
                <w:rFonts w:eastAsia="宋体"/>
                <w:szCs w:val="24"/>
              </w:rPr>
              <w:t>附件1 委托书</w:t>
            </w:r>
          </w:p>
          <w:p>
            <w:pPr>
              <w:pStyle w:val="61"/>
              <w:spacing w:line="360" w:lineRule="auto"/>
              <w:ind w:firstLine="480"/>
              <w:rPr>
                <w:rFonts w:eastAsia="宋体"/>
                <w:szCs w:val="24"/>
              </w:rPr>
            </w:pPr>
            <w:r>
              <w:rPr>
                <w:rFonts w:eastAsia="宋体"/>
                <w:szCs w:val="24"/>
              </w:rPr>
              <w:t>附件2 信用承诺书</w:t>
            </w:r>
          </w:p>
          <w:p>
            <w:pPr>
              <w:pStyle w:val="61"/>
              <w:spacing w:line="360" w:lineRule="auto"/>
              <w:ind w:firstLine="480"/>
              <w:rPr>
                <w:rFonts w:eastAsia="宋体"/>
                <w:kern w:val="0"/>
                <w:szCs w:val="24"/>
              </w:rPr>
            </w:pPr>
            <w:r>
              <w:rPr>
                <w:rFonts w:eastAsia="宋体"/>
                <w:szCs w:val="24"/>
              </w:rPr>
              <w:t xml:space="preserve">附件3 </w:t>
            </w:r>
            <w:r>
              <w:rPr>
                <w:rFonts w:eastAsia="宋体"/>
                <w:kern w:val="0"/>
                <w:szCs w:val="24"/>
              </w:rPr>
              <w:t>宿迁市计量所检测报告</w:t>
            </w:r>
          </w:p>
          <w:p>
            <w:pPr>
              <w:pStyle w:val="61"/>
              <w:tabs>
                <w:tab w:val="left" w:pos="1290"/>
              </w:tabs>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附图1 建设项目地理位置图</w:t>
            </w:r>
          </w:p>
          <w:p>
            <w:pPr>
              <w:pStyle w:val="61"/>
              <w:spacing w:line="360" w:lineRule="auto"/>
              <w:ind w:firstLine="480"/>
              <w:rPr>
                <w:rFonts w:eastAsia="宋体"/>
                <w:szCs w:val="24"/>
              </w:rPr>
            </w:pPr>
            <w:r>
              <w:rPr>
                <w:rFonts w:eastAsia="宋体"/>
                <w:szCs w:val="24"/>
              </w:rPr>
              <w:t>附图2 建设项目水系图</w:t>
            </w:r>
          </w:p>
          <w:p>
            <w:pPr>
              <w:pStyle w:val="61"/>
              <w:spacing w:line="360" w:lineRule="auto"/>
              <w:ind w:firstLine="480"/>
              <w:rPr>
                <w:rFonts w:eastAsia="宋体"/>
                <w:kern w:val="0"/>
                <w:szCs w:val="24"/>
              </w:rPr>
            </w:pPr>
            <w:r>
              <w:rPr>
                <w:rFonts w:eastAsia="宋体"/>
                <w:szCs w:val="24"/>
              </w:rPr>
              <w:t>附图3</w:t>
            </w:r>
            <w:r>
              <w:rPr>
                <w:rFonts w:eastAsia="宋体"/>
                <w:kern w:val="0"/>
                <w:szCs w:val="24"/>
              </w:rPr>
              <w:t xml:space="preserve"> 生态红线图</w:t>
            </w:r>
          </w:p>
          <w:p>
            <w:pPr>
              <w:pStyle w:val="61"/>
              <w:spacing w:line="360" w:lineRule="auto"/>
              <w:ind w:firstLine="480"/>
              <w:rPr>
                <w:rFonts w:eastAsia="宋体"/>
                <w:kern w:val="0"/>
                <w:szCs w:val="24"/>
              </w:rPr>
            </w:pPr>
            <w:r>
              <w:rPr>
                <w:rFonts w:eastAsia="宋体"/>
                <w:kern w:val="0"/>
                <w:szCs w:val="24"/>
              </w:rPr>
              <w:t>附图4 建设项目周围300m概况图</w:t>
            </w:r>
          </w:p>
          <w:p>
            <w:pPr>
              <w:pStyle w:val="61"/>
              <w:spacing w:line="360" w:lineRule="auto"/>
              <w:ind w:firstLine="480"/>
              <w:rPr>
                <w:rFonts w:eastAsia="宋体"/>
                <w:kern w:val="0"/>
                <w:szCs w:val="24"/>
              </w:rPr>
            </w:pPr>
            <w:r>
              <w:rPr>
                <w:rFonts w:eastAsia="宋体"/>
                <w:kern w:val="0"/>
                <w:szCs w:val="24"/>
              </w:rPr>
              <w:t>附图5 平面布置图</w:t>
            </w:r>
          </w:p>
          <w:p>
            <w:pPr>
              <w:pStyle w:val="61"/>
              <w:spacing w:line="360" w:lineRule="auto"/>
              <w:ind w:firstLine="480"/>
              <w:rPr>
                <w:rFonts w:eastAsia="宋体"/>
                <w:szCs w:val="24"/>
              </w:rPr>
            </w:pPr>
          </w:p>
          <w:p>
            <w:pPr>
              <w:pStyle w:val="61"/>
              <w:spacing w:line="360" w:lineRule="auto"/>
              <w:ind w:firstLine="480"/>
              <w:rPr>
                <w:rFonts w:eastAsia="宋体"/>
                <w:szCs w:val="24"/>
              </w:rPr>
            </w:pPr>
            <w:r>
              <w:rPr>
                <w:rFonts w:eastAsia="宋体"/>
                <w:szCs w:val="24"/>
              </w:rPr>
              <w:t>二、如果本报告表不能说明项目产生的污染及对环境造成的影响，应进行专项评价。</w:t>
            </w:r>
          </w:p>
          <w:p>
            <w:pPr>
              <w:pStyle w:val="61"/>
              <w:spacing w:line="360" w:lineRule="auto"/>
              <w:ind w:firstLine="480"/>
              <w:rPr>
                <w:rFonts w:eastAsia="宋体"/>
                <w:szCs w:val="24"/>
              </w:rPr>
            </w:pPr>
            <w:r>
              <w:rPr>
                <w:rFonts w:eastAsia="宋体"/>
                <w:szCs w:val="24"/>
              </w:rPr>
              <w:t>根据建设项目的特点和当地环境特征，应选下列1-2 列进行专项评价。</w:t>
            </w:r>
          </w:p>
          <w:p>
            <w:pPr>
              <w:pStyle w:val="61"/>
              <w:spacing w:line="360" w:lineRule="auto"/>
              <w:ind w:firstLine="480"/>
              <w:rPr>
                <w:rFonts w:eastAsia="宋体"/>
                <w:szCs w:val="24"/>
              </w:rPr>
            </w:pPr>
            <w:r>
              <w:rPr>
                <w:rFonts w:eastAsia="宋体"/>
                <w:szCs w:val="24"/>
              </w:rPr>
              <w:t>1． 大气环境影响专项评价</w:t>
            </w:r>
          </w:p>
          <w:p>
            <w:pPr>
              <w:pStyle w:val="61"/>
              <w:spacing w:line="360" w:lineRule="auto"/>
              <w:ind w:firstLine="480"/>
              <w:rPr>
                <w:rFonts w:eastAsia="宋体"/>
                <w:szCs w:val="24"/>
              </w:rPr>
            </w:pPr>
            <w:r>
              <w:rPr>
                <w:rFonts w:eastAsia="宋体"/>
                <w:szCs w:val="24"/>
              </w:rPr>
              <w:t>2． 水环境影响专项评价（包括地表水和地下水）</w:t>
            </w:r>
          </w:p>
          <w:p>
            <w:pPr>
              <w:pStyle w:val="61"/>
              <w:spacing w:line="360" w:lineRule="auto"/>
              <w:ind w:firstLine="480"/>
              <w:rPr>
                <w:rFonts w:eastAsia="宋体"/>
                <w:szCs w:val="24"/>
              </w:rPr>
            </w:pPr>
            <w:r>
              <w:rPr>
                <w:rFonts w:eastAsia="宋体"/>
                <w:szCs w:val="24"/>
              </w:rPr>
              <w:t>3． 生态环境影响专项评价</w:t>
            </w:r>
          </w:p>
          <w:p>
            <w:pPr>
              <w:pStyle w:val="61"/>
              <w:spacing w:line="360" w:lineRule="auto"/>
              <w:ind w:firstLine="480"/>
              <w:rPr>
                <w:rFonts w:eastAsia="宋体"/>
                <w:szCs w:val="24"/>
              </w:rPr>
            </w:pPr>
            <w:r>
              <w:rPr>
                <w:rFonts w:eastAsia="宋体"/>
                <w:szCs w:val="24"/>
              </w:rPr>
              <w:t>4． 声影响专项评价</w:t>
            </w:r>
          </w:p>
          <w:p>
            <w:pPr>
              <w:pStyle w:val="61"/>
              <w:spacing w:line="360" w:lineRule="auto"/>
              <w:ind w:firstLine="480"/>
              <w:rPr>
                <w:rFonts w:eastAsia="宋体"/>
                <w:szCs w:val="24"/>
              </w:rPr>
            </w:pPr>
            <w:r>
              <w:rPr>
                <w:rFonts w:eastAsia="宋体"/>
                <w:szCs w:val="24"/>
              </w:rPr>
              <w:t>5． 土壤影响专项评价</w:t>
            </w:r>
          </w:p>
          <w:p>
            <w:pPr>
              <w:pStyle w:val="61"/>
              <w:spacing w:line="360" w:lineRule="auto"/>
              <w:ind w:firstLine="480"/>
              <w:rPr>
                <w:rFonts w:eastAsia="宋体"/>
                <w:szCs w:val="24"/>
              </w:rPr>
            </w:pPr>
            <w:r>
              <w:rPr>
                <w:rFonts w:eastAsia="宋体"/>
                <w:szCs w:val="24"/>
              </w:rPr>
              <w:t>6． 固体废弃物影响专项评价</w:t>
            </w:r>
          </w:p>
          <w:p>
            <w:pPr>
              <w:pStyle w:val="61"/>
              <w:spacing w:line="360" w:lineRule="auto"/>
              <w:ind w:firstLine="480"/>
              <w:rPr>
                <w:rFonts w:eastAsia="宋体"/>
                <w:szCs w:val="24"/>
              </w:rPr>
            </w:pPr>
            <w:r>
              <w:rPr>
                <w:rFonts w:eastAsia="宋体"/>
                <w:szCs w:val="24"/>
              </w:rPr>
              <w:t>7． 辐射环境影响专项评价（包括电离辐射和电磁辐射）</w:t>
            </w:r>
          </w:p>
          <w:p>
            <w:pPr>
              <w:pStyle w:val="61"/>
              <w:spacing w:line="360" w:lineRule="auto"/>
              <w:ind w:firstLine="0" w:firstLineChars="0"/>
              <w:rPr>
                <w:rFonts w:eastAsia="宋体"/>
                <w:szCs w:val="24"/>
              </w:rPr>
            </w:pPr>
            <w:r>
              <w:rPr>
                <w:rFonts w:eastAsia="宋体"/>
                <w:szCs w:val="24"/>
              </w:rPr>
              <w:t>以上专项评价未包括的可另列专项，专项评价按照《环境影响评价技术导则》中的要求进行。</w:t>
            </w:r>
          </w:p>
        </w:tc>
      </w:tr>
    </w:tbl>
    <w:p>
      <w:pPr>
        <w:pStyle w:val="25"/>
        <w:ind w:firstLine="0" w:firstLineChars="0"/>
        <w:rPr>
          <w:rFonts w:eastAsia="宋体"/>
        </w:rPr>
      </w:pPr>
    </w:p>
    <w:sectPr>
      <w:footerReference r:id="rId7" w:type="default"/>
      <w:footerReference r:id="rId8" w:type="even"/>
      <w:pgSz w:w="11906" w:h="16838"/>
      <w:pgMar w:top="1418" w:right="1418" w:bottom="1418" w:left="1418"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时尚中黑简体">
    <w:altName w:val="黑体"/>
    <w:panose1 w:val="00000000000000000000"/>
    <w:charset w:val="86"/>
    <w:family w:val="auto"/>
    <w:pitch w:val="default"/>
    <w:sig w:usb0="00000000" w:usb1="00000000" w:usb2="00000012" w:usb3="00000000" w:csb0="00040001"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2"/>
      </w:rPr>
    </w:pPr>
    <w:r>
      <w:fldChar w:fldCharType="begin"/>
    </w:r>
    <w:r>
      <w:rPr>
        <w:rStyle w:val="32"/>
      </w:rPr>
      <w:instrText xml:space="preserve">PAGE  </w:instrTex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7</w:t>
    </w:r>
    <w:r>
      <w:rPr>
        <w:lang w:val="zh-CN"/>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67</w:t>
    </w:r>
    <w:r>
      <w:rPr>
        <w:lang w:val="zh-CN"/>
      </w:rPr>
      <w:fldChar w:fldCharType="end"/>
    </w:r>
  </w:p>
  <w:p>
    <w:pPr>
      <w:pStyle w:val="2"/>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2"/>
      </w:rPr>
    </w:pPr>
    <w:r>
      <w:fldChar w:fldCharType="begin"/>
    </w:r>
    <w:r>
      <w:rPr>
        <w:rStyle w:val="32"/>
      </w:rPr>
      <w:instrText xml:space="preserve">PAGE  </w:instrText>
    </w:r>
    <w:r>
      <w:fldChar w:fldCharType="separate"/>
    </w:r>
    <w:r>
      <w:rPr>
        <w:rStyle w:val="32"/>
      </w:rPr>
      <w:t>16</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5"/>
  <w:drawingGridHorizontalSpacing w:val="251"/>
  <w:drawingGridVerticalSpacing w:val="387"/>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ACTIVE" w:val="名商城.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172A27"/>
    <w:rsid w:val="00000C26"/>
    <w:rsid w:val="00000E57"/>
    <w:rsid w:val="000015E6"/>
    <w:rsid w:val="00001DF8"/>
    <w:rsid w:val="00001FE2"/>
    <w:rsid w:val="00002718"/>
    <w:rsid w:val="000027BB"/>
    <w:rsid w:val="00002987"/>
    <w:rsid w:val="00002FC0"/>
    <w:rsid w:val="00003853"/>
    <w:rsid w:val="0000464B"/>
    <w:rsid w:val="000047F1"/>
    <w:rsid w:val="00004B37"/>
    <w:rsid w:val="00006B8F"/>
    <w:rsid w:val="0001115F"/>
    <w:rsid w:val="000112CA"/>
    <w:rsid w:val="00012629"/>
    <w:rsid w:val="00012DDF"/>
    <w:rsid w:val="00012F0A"/>
    <w:rsid w:val="00013E8C"/>
    <w:rsid w:val="00014334"/>
    <w:rsid w:val="000158A9"/>
    <w:rsid w:val="000160FF"/>
    <w:rsid w:val="00016127"/>
    <w:rsid w:val="000162F1"/>
    <w:rsid w:val="0001635B"/>
    <w:rsid w:val="00017DB4"/>
    <w:rsid w:val="000213C6"/>
    <w:rsid w:val="0002149C"/>
    <w:rsid w:val="00021800"/>
    <w:rsid w:val="00021B20"/>
    <w:rsid w:val="0002249B"/>
    <w:rsid w:val="00022BFF"/>
    <w:rsid w:val="000234F0"/>
    <w:rsid w:val="00023808"/>
    <w:rsid w:val="00023B31"/>
    <w:rsid w:val="00025CB7"/>
    <w:rsid w:val="00026AD4"/>
    <w:rsid w:val="00026B33"/>
    <w:rsid w:val="00027864"/>
    <w:rsid w:val="00027874"/>
    <w:rsid w:val="000304CC"/>
    <w:rsid w:val="000308DF"/>
    <w:rsid w:val="0003104F"/>
    <w:rsid w:val="00031130"/>
    <w:rsid w:val="00031166"/>
    <w:rsid w:val="00031AB4"/>
    <w:rsid w:val="00032581"/>
    <w:rsid w:val="00032EF2"/>
    <w:rsid w:val="000341D7"/>
    <w:rsid w:val="00034D06"/>
    <w:rsid w:val="000355E1"/>
    <w:rsid w:val="00035EA5"/>
    <w:rsid w:val="00036892"/>
    <w:rsid w:val="000369BB"/>
    <w:rsid w:val="00037D92"/>
    <w:rsid w:val="00040818"/>
    <w:rsid w:val="000408C0"/>
    <w:rsid w:val="00040D61"/>
    <w:rsid w:val="000414B8"/>
    <w:rsid w:val="00043B18"/>
    <w:rsid w:val="00044649"/>
    <w:rsid w:val="00044877"/>
    <w:rsid w:val="00044FEF"/>
    <w:rsid w:val="00046351"/>
    <w:rsid w:val="00046491"/>
    <w:rsid w:val="00046CC0"/>
    <w:rsid w:val="00046D82"/>
    <w:rsid w:val="00047A3C"/>
    <w:rsid w:val="000501F9"/>
    <w:rsid w:val="000505CD"/>
    <w:rsid w:val="0005119A"/>
    <w:rsid w:val="000512D9"/>
    <w:rsid w:val="00051CDF"/>
    <w:rsid w:val="000531AC"/>
    <w:rsid w:val="0005419C"/>
    <w:rsid w:val="0005431F"/>
    <w:rsid w:val="00054E3E"/>
    <w:rsid w:val="00055449"/>
    <w:rsid w:val="000558F5"/>
    <w:rsid w:val="00055DAA"/>
    <w:rsid w:val="00056423"/>
    <w:rsid w:val="0005695A"/>
    <w:rsid w:val="00057AFF"/>
    <w:rsid w:val="00057E4F"/>
    <w:rsid w:val="0006099D"/>
    <w:rsid w:val="000610E8"/>
    <w:rsid w:val="0006373D"/>
    <w:rsid w:val="00065DB2"/>
    <w:rsid w:val="00065EC8"/>
    <w:rsid w:val="00066997"/>
    <w:rsid w:val="00066B87"/>
    <w:rsid w:val="00067BE2"/>
    <w:rsid w:val="00067D6C"/>
    <w:rsid w:val="00067DDC"/>
    <w:rsid w:val="00070689"/>
    <w:rsid w:val="00070DB0"/>
    <w:rsid w:val="00071F7F"/>
    <w:rsid w:val="0007359F"/>
    <w:rsid w:val="00074707"/>
    <w:rsid w:val="0007526B"/>
    <w:rsid w:val="00075C3D"/>
    <w:rsid w:val="00075F40"/>
    <w:rsid w:val="0007604E"/>
    <w:rsid w:val="00076F72"/>
    <w:rsid w:val="00077C32"/>
    <w:rsid w:val="000802EB"/>
    <w:rsid w:val="00080E82"/>
    <w:rsid w:val="00081797"/>
    <w:rsid w:val="00081B3C"/>
    <w:rsid w:val="00081B66"/>
    <w:rsid w:val="000828C3"/>
    <w:rsid w:val="000829FE"/>
    <w:rsid w:val="000832C4"/>
    <w:rsid w:val="00083912"/>
    <w:rsid w:val="00083DAE"/>
    <w:rsid w:val="00083EAD"/>
    <w:rsid w:val="00084179"/>
    <w:rsid w:val="00084608"/>
    <w:rsid w:val="000858B3"/>
    <w:rsid w:val="00086053"/>
    <w:rsid w:val="00086320"/>
    <w:rsid w:val="00086EFC"/>
    <w:rsid w:val="00087940"/>
    <w:rsid w:val="00087A41"/>
    <w:rsid w:val="00087ACA"/>
    <w:rsid w:val="00087EC9"/>
    <w:rsid w:val="00090E19"/>
    <w:rsid w:val="00092ACF"/>
    <w:rsid w:val="00092E96"/>
    <w:rsid w:val="00093AA8"/>
    <w:rsid w:val="00093CDA"/>
    <w:rsid w:val="00093D34"/>
    <w:rsid w:val="000949F0"/>
    <w:rsid w:val="00094B17"/>
    <w:rsid w:val="0009501A"/>
    <w:rsid w:val="00095530"/>
    <w:rsid w:val="000956C9"/>
    <w:rsid w:val="000958B9"/>
    <w:rsid w:val="00096039"/>
    <w:rsid w:val="0009690A"/>
    <w:rsid w:val="00096C9E"/>
    <w:rsid w:val="00096F34"/>
    <w:rsid w:val="000975DC"/>
    <w:rsid w:val="000975F3"/>
    <w:rsid w:val="000A0483"/>
    <w:rsid w:val="000A0959"/>
    <w:rsid w:val="000A0CB3"/>
    <w:rsid w:val="000A1334"/>
    <w:rsid w:val="000A189C"/>
    <w:rsid w:val="000A19DA"/>
    <w:rsid w:val="000A1B1A"/>
    <w:rsid w:val="000A1C55"/>
    <w:rsid w:val="000A23BE"/>
    <w:rsid w:val="000A26DE"/>
    <w:rsid w:val="000A2951"/>
    <w:rsid w:val="000A4329"/>
    <w:rsid w:val="000A4A4C"/>
    <w:rsid w:val="000A4B5D"/>
    <w:rsid w:val="000A6849"/>
    <w:rsid w:val="000A731E"/>
    <w:rsid w:val="000A798C"/>
    <w:rsid w:val="000A7B30"/>
    <w:rsid w:val="000B070F"/>
    <w:rsid w:val="000B0BA9"/>
    <w:rsid w:val="000B1310"/>
    <w:rsid w:val="000B15B0"/>
    <w:rsid w:val="000B20F8"/>
    <w:rsid w:val="000B2914"/>
    <w:rsid w:val="000B2F4C"/>
    <w:rsid w:val="000B359A"/>
    <w:rsid w:val="000B3930"/>
    <w:rsid w:val="000B3EFC"/>
    <w:rsid w:val="000B43CB"/>
    <w:rsid w:val="000B4E9F"/>
    <w:rsid w:val="000B6624"/>
    <w:rsid w:val="000B728A"/>
    <w:rsid w:val="000B7567"/>
    <w:rsid w:val="000B7610"/>
    <w:rsid w:val="000C07F1"/>
    <w:rsid w:val="000C0AC4"/>
    <w:rsid w:val="000C224C"/>
    <w:rsid w:val="000C3B74"/>
    <w:rsid w:val="000C473B"/>
    <w:rsid w:val="000C48A5"/>
    <w:rsid w:val="000C4B9A"/>
    <w:rsid w:val="000C5FEF"/>
    <w:rsid w:val="000C695E"/>
    <w:rsid w:val="000C7868"/>
    <w:rsid w:val="000C7CC2"/>
    <w:rsid w:val="000D021B"/>
    <w:rsid w:val="000D1EC9"/>
    <w:rsid w:val="000D2ACA"/>
    <w:rsid w:val="000D42E8"/>
    <w:rsid w:val="000D43ED"/>
    <w:rsid w:val="000D4CEA"/>
    <w:rsid w:val="000D4DD5"/>
    <w:rsid w:val="000D5047"/>
    <w:rsid w:val="000D60A3"/>
    <w:rsid w:val="000E0027"/>
    <w:rsid w:val="000E042B"/>
    <w:rsid w:val="000E0941"/>
    <w:rsid w:val="000E0AFE"/>
    <w:rsid w:val="000E0CF0"/>
    <w:rsid w:val="000E0D2C"/>
    <w:rsid w:val="000E2BBD"/>
    <w:rsid w:val="000E2BCC"/>
    <w:rsid w:val="000E2F77"/>
    <w:rsid w:val="000E3019"/>
    <w:rsid w:val="000E3F3A"/>
    <w:rsid w:val="000E4692"/>
    <w:rsid w:val="000E4753"/>
    <w:rsid w:val="000E4B9E"/>
    <w:rsid w:val="000E63E4"/>
    <w:rsid w:val="000E7463"/>
    <w:rsid w:val="000E7F2E"/>
    <w:rsid w:val="000F067D"/>
    <w:rsid w:val="000F105A"/>
    <w:rsid w:val="000F2B5D"/>
    <w:rsid w:val="000F3360"/>
    <w:rsid w:val="000F40FB"/>
    <w:rsid w:val="000F4D27"/>
    <w:rsid w:val="000F6939"/>
    <w:rsid w:val="000F72F0"/>
    <w:rsid w:val="000F7E4F"/>
    <w:rsid w:val="0010179E"/>
    <w:rsid w:val="001021BB"/>
    <w:rsid w:val="00102347"/>
    <w:rsid w:val="00102493"/>
    <w:rsid w:val="00102C2D"/>
    <w:rsid w:val="00104772"/>
    <w:rsid w:val="0010612E"/>
    <w:rsid w:val="00107CF3"/>
    <w:rsid w:val="001102CA"/>
    <w:rsid w:val="00110642"/>
    <w:rsid w:val="00110F1E"/>
    <w:rsid w:val="0011248C"/>
    <w:rsid w:val="00112C37"/>
    <w:rsid w:val="00114F28"/>
    <w:rsid w:val="00115402"/>
    <w:rsid w:val="00115593"/>
    <w:rsid w:val="001157EB"/>
    <w:rsid w:val="001166AD"/>
    <w:rsid w:val="00117D38"/>
    <w:rsid w:val="00117EF0"/>
    <w:rsid w:val="00120D0F"/>
    <w:rsid w:val="00120ED7"/>
    <w:rsid w:val="001218DF"/>
    <w:rsid w:val="001227E3"/>
    <w:rsid w:val="00122BAA"/>
    <w:rsid w:val="00122E9A"/>
    <w:rsid w:val="00124872"/>
    <w:rsid w:val="00124E9D"/>
    <w:rsid w:val="0012564B"/>
    <w:rsid w:val="00126F05"/>
    <w:rsid w:val="0012729D"/>
    <w:rsid w:val="00127A6D"/>
    <w:rsid w:val="00127A8E"/>
    <w:rsid w:val="001310DB"/>
    <w:rsid w:val="00131E49"/>
    <w:rsid w:val="00131E71"/>
    <w:rsid w:val="001320EF"/>
    <w:rsid w:val="0013213A"/>
    <w:rsid w:val="0013263E"/>
    <w:rsid w:val="00132DE9"/>
    <w:rsid w:val="00133CA1"/>
    <w:rsid w:val="00134753"/>
    <w:rsid w:val="001358A7"/>
    <w:rsid w:val="001361F0"/>
    <w:rsid w:val="00137D88"/>
    <w:rsid w:val="00140185"/>
    <w:rsid w:val="0014042E"/>
    <w:rsid w:val="00140DCA"/>
    <w:rsid w:val="00140FDB"/>
    <w:rsid w:val="00141DE1"/>
    <w:rsid w:val="00141EDB"/>
    <w:rsid w:val="0014266D"/>
    <w:rsid w:val="00143466"/>
    <w:rsid w:val="0014385D"/>
    <w:rsid w:val="001440AD"/>
    <w:rsid w:val="001440EB"/>
    <w:rsid w:val="001450BF"/>
    <w:rsid w:val="001450C2"/>
    <w:rsid w:val="001459E8"/>
    <w:rsid w:val="00145B13"/>
    <w:rsid w:val="001463A0"/>
    <w:rsid w:val="001476AF"/>
    <w:rsid w:val="001478FA"/>
    <w:rsid w:val="001505F3"/>
    <w:rsid w:val="00150615"/>
    <w:rsid w:val="00150AC3"/>
    <w:rsid w:val="00151070"/>
    <w:rsid w:val="0015146C"/>
    <w:rsid w:val="001515C7"/>
    <w:rsid w:val="00151758"/>
    <w:rsid w:val="001529F2"/>
    <w:rsid w:val="0015328C"/>
    <w:rsid w:val="00153B2E"/>
    <w:rsid w:val="00153FC9"/>
    <w:rsid w:val="00154A2E"/>
    <w:rsid w:val="001560C3"/>
    <w:rsid w:val="001569E0"/>
    <w:rsid w:val="00160B0F"/>
    <w:rsid w:val="00160F2E"/>
    <w:rsid w:val="00162420"/>
    <w:rsid w:val="00162D4A"/>
    <w:rsid w:val="00163423"/>
    <w:rsid w:val="001635D5"/>
    <w:rsid w:val="001648B0"/>
    <w:rsid w:val="001655FC"/>
    <w:rsid w:val="00166451"/>
    <w:rsid w:val="00166A9E"/>
    <w:rsid w:val="00166CD0"/>
    <w:rsid w:val="001673B3"/>
    <w:rsid w:val="00167723"/>
    <w:rsid w:val="00167822"/>
    <w:rsid w:val="001679E6"/>
    <w:rsid w:val="00170573"/>
    <w:rsid w:val="0017075B"/>
    <w:rsid w:val="00170D5F"/>
    <w:rsid w:val="00170D91"/>
    <w:rsid w:val="00171C93"/>
    <w:rsid w:val="00171FC5"/>
    <w:rsid w:val="00171FF5"/>
    <w:rsid w:val="00172714"/>
    <w:rsid w:val="001729B3"/>
    <w:rsid w:val="00172A27"/>
    <w:rsid w:val="00172A96"/>
    <w:rsid w:val="001730B3"/>
    <w:rsid w:val="00173888"/>
    <w:rsid w:val="00174090"/>
    <w:rsid w:val="001748A8"/>
    <w:rsid w:val="00174A2A"/>
    <w:rsid w:val="0017558A"/>
    <w:rsid w:val="00176CB3"/>
    <w:rsid w:val="00177141"/>
    <w:rsid w:val="00181F60"/>
    <w:rsid w:val="001830AD"/>
    <w:rsid w:val="00184CFE"/>
    <w:rsid w:val="00186FA2"/>
    <w:rsid w:val="0019068B"/>
    <w:rsid w:val="0019103D"/>
    <w:rsid w:val="0019119D"/>
    <w:rsid w:val="00191309"/>
    <w:rsid w:val="00191567"/>
    <w:rsid w:val="00191733"/>
    <w:rsid w:val="00192739"/>
    <w:rsid w:val="00192BBB"/>
    <w:rsid w:val="00192E51"/>
    <w:rsid w:val="00193AA6"/>
    <w:rsid w:val="001948B3"/>
    <w:rsid w:val="00194F42"/>
    <w:rsid w:val="001953B8"/>
    <w:rsid w:val="00196142"/>
    <w:rsid w:val="00196472"/>
    <w:rsid w:val="001978BA"/>
    <w:rsid w:val="00197B92"/>
    <w:rsid w:val="001A1A50"/>
    <w:rsid w:val="001A35F4"/>
    <w:rsid w:val="001A4022"/>
    <w:rsid w:val="001A5221"/>
    <w:rsid w:val="001A579D"/>
    <w:rsid w:val="001A590E"/>
    <w:rsid w:val="001A67F7"/>
    <w:rsid w:val="001A6C6D"/>
    <w:rsid w:val="001A7A78"/>
    <w:rsid w:val="001B147B"/>
    <w:rsid w:val="001B1D7A"/>
    <w:rsid w:val="001B1EDD"/>
    <w:rsid w:val="001B36EC"/>
    <w:rsid w:val="001B3711"/>
    <w:rsid w:val="001B3A37"/>
    <w:rsid w:val="001B48AE"/>
    <w:rsid w:val="001B4A59"/>
    <w:rsid w:val="001B52F2"/>
    <w:rsid w:val="001B5ECA"/>
    <w:rsid w:val="001B62A1"/>
    <w:rsid w:val="001B6487"/>
    <w:rsid w:val="001B6D05"/>
    <w:rsid w:val="001B6D7D"/>
    <w:rsid w:val="001B6DFA"/>
    <w:rsid w:val="001B71D2"/>
    <w:rsid w:val="001C0C46"/>
    <w:rsid w:val="001C0F9A"/>
    <w:rsid w:val="001C2B1B"/>
    <w:rsid w:val="001C2D42"/>
    <w:rsid w:val="001C3E33"/>
    <w:rsid w:val="001C5465"/>
    <w:rsid w:val="001C5C67"/>
    <w:rsid w:val="001D0016"/>
    <w:rsid w:val="001D01CE"/>
    <w:rsid w:val="001D03FD"/>
    <w:rsid w:val="001D1B48"/>
    <w:rsid w:val="001D1B79"/>
    <w:rsid w:val="001D22E3"/>
    <w:rsid w:val="001D2C4F"/>
    <w:rsid w:val="001D31F0"/>
    <w:rsid w:val="001D3A57"/>
    <w:rsid w:val="001D3D7C"/>
    <w:rsid w:val="001D4069"/>
    <w:rsid w:val="001D4346"/>
    <w:rsid w:val="001D4737"/>
    <w:rsid w:val="001D4CF0"/>
    <w:rsid w:val="001D4D88"/>
    <w:rsid w:val="001D605E"/>
    <w:rsid w:val="001D6258"/>
    <w:rsid w:val="001D6473"/>
    <w:rsid w:val="001D727C"/>
    <w:rsid w:val="001D7EB5"/>
    <w:rsid w:val="001E191D"/>
    <w:rsid w:val="001E1B6F"/>
    <w:rsid w:val="001E208B"/>
    <w:rsid w:val="001E310A"/>
    <w:rsid w:val="001E3A36"/>
    <w:rsid w:val="001E3E98"/>
    <w:rsid w:val="001E5792"/>
    <w:rsid w:val="001E65E1"/>
    <w:rsid w:val="001E66AE"/>
    <w:rsid w:val="001E7105"/>
    <w:rsid w:val="001E76CB"/>
    <w:rsid w:val="001F0D48"/>
    <w:rsid w:val="001F0D7B"/>
    <w:rsid w:val="001F1654"/>
    <w:rsid w:val="001F2A01"/>
    <w:rsid w:val="001F382C"/>
    <w:rsid w:val="001F3B5E"/>
    <w:rsid w:val="001F421C"/>
    <w:rsid w:val="001F4976"/>
    <w:rsid w:val="001F4B4C"/>
    <w:rsid w:val="001F520C"/>
    <w:rsid w:val="001F6551"/>
    <w:rsid w:val="001F73A9"/>
    <w:rsid w:val="001F761D"/>
    <w:rsid w:val="001F7718"/>
    <w:rsid w:val="00201718"/>
    <w:rsid w:val="00201741"/>
    <w:rsid w:val="002021D5"/>
    <w:rsid w:val="002032D1"/>
    <w:rsid w:val="00203AEC"/>
    <w:rsid w:val="00204415"/>
    <w:rsid w:val="002049C2"/>
    <w:rsid w:val="00204D71"/>
    <w:rsid w:val="002050FA"/>
    <w:rsid w:val="002058A3"/>
    <w:rsid w:val="00207218"/>
    <w:rsid w:val="00207770"/>
    <w:rsid w:val="00207F3D"/>
    <w:rsid w:val="0021008E"/>
    <w:rsid w:val="00210182"/>
    <w:rsid w:val="002102A2"/>
    <w:rsid w:val="00210686"/>
    <w:rsid w:val="002106C5"/>
    <w:rsid w:val="0021140D"/>
    <w:rsid w:val="002127F8"/>
    <w:rsid w:val="002132F6"/>
    <w:rsid w:val="002137CF"/>
    <w:rsid w:val="00214634"/>
    <w:rsid w:val="00214662"/>
    <w:rsid w:val="00216373"/>
    <w:rsid w:val="0022241A"/>
    <w:rsid w:val="0022387B"/>
    <w:rsid w:val="00224900"/>
    <w:rsid w:val="00226385"/>
    <w:rsid w:val="002269F0"/>
    <w:rsid w:val="002308E5"/>
    <w:rsid w:val="00231303"/>
    <w:rsid w:val="00231BD6"/>
    <w:rsid w:val="00233187"/>
    <w:rsid w:val="00234031"/>
    <w:rsid w:val="00236BFB"/>
    <w:rsid w:val="002378EF"/>
    <w:rsid w:val="00237B92"/>
    <w:rsid w:val="00237DA8"/>
    <w:rsid w:val="00240594"/>
    <w:rsid w:val="0024142F"/>
    <w:rsid w:val="00241772"/>
    <w:rsid w:val="00242D28"/>
    <w:rsid w:val="002434E2"/>
    <w:rsid w:val="002435A8"/>
    <w:rsid w:val="002435EA"/>
    <w:rsid w:val="002437AA"/>
    <w:rsid w:val="00243A69"/>
    <w:rsid w:val="00243F04"/>
    <w:rsid w:val="002459B1"/>
    <w:rsid w:val="00246360"/>
    <w:rsid w:val="0024645E"/>
    <w:rsid w:val="00250239"/>
    <w:rsid w:val="00252198"/>
    <w:rsid w:val="002524B6"/>
    <w:rsid w:val="002525D9"/>
    <w:rsid w:val="002528FD"/>
    <w:rsid w:val="00252F34"/>
    <w:rsid w:val="00253570"/>
    <w:rsid w:val="00254CD6"/>
    <w:rsid w:val="00254F28"/>
    <w:rsid w:val="00255859"/>
    <w:rsid w:val="0025687D"/>
    <w:rsid w:val="00256A7A"/>
    <w:rsid w:val="00257005"/>
    <w:rsid w:val="00257590"/>
    <w:rsid w:val="00257941"/>
    <w:rsid w:val="002604BC"/>
    <w:rsid w:val="00260B6E"/>
    <w:rsid w:val="002614F1"/>
    <w:rsid w:val="002616C1"/>
    <w:rsid w:val="002636E3"/>
    <w:rsid w:val="002637A1"/>
    <w:rsid w:val="002648EA"/>
    <w:rsid w:val="002652A6"/>
    <w:rsid w:val="0026565E"/>
    <w:rsid w:val="00265696"/>
    <w:rsid w:val="0026575A"/>
    <w:rsid w:val="00265EA2"/>
    <w:rsid w:val="00266C17"/>
    <w:rsid w:val="00266C77"/>
    <w:rsid w:val="002679F6"/>
    <w:rsid w:val="00267C20"/>
    <w:rsid w:val="00267E34"/>
    <w:rsid w:val="00271F57"/>
    <w:rsid w:val="002728A8"/>
    <w:rsid w:val="00272CDB"/>
    <w:rsid w:val="00273F62"/>
    <w:rsid w:val="00274512"/>
    <w:rsid w:val="00274894"/>
    <w:rsid w:val="00275221"/>
    <w:rsid w:val="00275AFD"/>
    <w:rsid w:val="0027773F"/>
    <w:rsid w:val="002777EC"/>
    <w:rsid w:val="00277944"/>
    <w:rsid w:val="002807A0"/>
    <w:rsid w:val="00280872"/>
    <w:rsid w:val="00281A1E"/>
    <w:rsid w:val="00281B21"/>
    <w:rsid w:val="00281EAF"/>
    <w:rsid w:val="0028238D"/>
    <w:rsid w:val="00283132"/>
    <w:rsid w:val="00283837"/>
    <w:rsid w:val="0028481A"/>
    <w:rsid w:val="0028641E"/>
    <w:rsid w:val="00286D27"/>
    <w:rsid w:val="00286F97"/>
    <w:rsid w:val="0028738B"/>
    <w:rsid w:val="00290632"/>
    <w:rsid w:val="002914F7"/>
    <w:rsid w:val="00291571"/>
    <w:rsid w:val="00291C23"/>
    <w:rsid w:val="00291C57"/>
    <w:rsid w:val="00292105"/>
    <w:rsid w:val="00292632"/>
    <w:rsid w:val="0029276D"/>
    <w:rsid w:val="00292949"/>
    <w:rsid w:val="00292CA8"/>
    <w:rsid w:val="00292E46"/>
    <w:rsid w:val="002930BB"/>
    <w:rsid w:val="002938B2"/>
    <w:rsid w:val="0029461D"/>
    <w:rsid w:val="0029725C"/>
    <w:rsid w:val="002A0713"/>
    <w:rsid w:val="002A0AD7"/>
    <w:rsid w:val="002A0CDD"/>
    <w:rsid w:val="002A22B2"/>
    <w:rsid w:val="002A2766"/>
    <w:rsid w:val="002A2A9A"/>
    <w:rsid w:val="002A2C61"/>
    <w:rsid w:val="002A3F54"/>
    <w:rsid w:val="002A450C"/>
    <w:rsid w:val="002A5584"/>
    <w:rsid w:val="002A5AA3"/>
    <w:rsid w:val="002A70FF"/>
    <w:rsid w:val="002A7567"/>
    <w:rsid w:val="002B06F0"/>
    <w:rsid w:val="002B0CD3"/>
    <w:rsid w:val="002B158A"/>
    <w:rsid w:val="002B1E4F"/>
    <w:rsid w:val="002B263C"/>
    <w:rsid w:val="002B284B"/>
    <w:rsid w:val="002B3823"/>
    <w:rsid w:val="002B4949"/>
    <w:rsid w:val="002B5567"/>
    <w:rsid w:val="002B58AB"/>
    <w:rsid w:val="002B5F51"/>
    <w:rsid w:val="002B6353"/>
    <w:rsid w:val="002B695B"/>
    <w:rsid w:val="002B6CE3"/>
    <w:rsid w:val="002B6D0F"/>
    <w:rsid w:val="002B6DED"/>
    <w:rsid w:val="002B7322"/>
    <w:rsid w:val="002B7E59"/>
    <w:rsid w:val="002C096F"/>
    <w:rsid w:val="002C0B1B"/>
    <w:rsid w:val="002C0E81"/>
    <w:rsid w:val="002C17FC"/>
    <w:rsid w:val="002C1E5A"/>
    <w:rsid w:val="002C2F00"/>
    <w:rsid w:val="002C3C2F"/>
    <w:rsid w:val="002C3F54"/>
    <w:rsid w:val="002C4D4F"/>
    <w:rsid w:val="002C5849"/>
    <w:rsid w:val="002C5AB1"/>
    <w:rsid w:val="002C600C"/>
    <w:rsid w:val="002C774D"/>
    <w:rsid w:val="002D0462"/>
    <w:rsid w:val="002D1EA4"/>
    <w:rsid w:val="002D2D6F"/>
    <w:rsid w:val="002D3152"/>
    <w:rsid w:val="002D3B7B"/>
    <w:rsid w:val="002D3FE4"/>
    <w:rsid w:val="002D4411"/>
    <w:rsid w:val="002D6CFB"/>
    <w:rsid w:val="002D6FB2"/>
    <w:rsid w:val="002D7C75"/>
    <w:rsid w:val="002D7D33"/>
    <w:rsid w:val="002D7FF3"/>
    <w:rsid w:val="002E0B9F"/>
    <w:rsid w:val="002E14A8"/>
    <w:rsid w:val="002E21A7"/>
    <w:rsid w:val="002E2ADB"/>
    <w:rsid w:val="002E2EF1"/>
    <w:rsid w:val="002E3629"/>
    <w:rsid w:val="002E3777"/>
    <w:rsid w:val="002E56A7"/>
    <w:rsid w:val="002E5792"/>
    <w:rsid w:val="002E5D1A"/>
    <w:rsid w:val="002E6234"/>
    <w:rsid w:val="002E6D23"/>
    <w:rsid w:val="002E6D59"/>
    <w:rsid w:val="002E7A25"/>
    <w:rsid w:val="002F04EB"/>
    <w:rsid w:val="002F0A6C"/>
    <w:rsid w:val="002F0C0B"/>
    <w:rsid w:val="002F1459"/>
    <w:rsid w:val="002F1D92"/>
    <w:rsid w:val="002F22BA"/>
    <w:rsid w:val="002F253E"/>
    <w:rsid w:val="002F2931"/>
    <w:rsid w:val="002F2FA7"/>
    <w:rsid w:val="002F3934"/>
    <w:rsid w:val="002F3B41"/>
    <w:rsid w:val="002F49C3"/>
    <w:rsid w:val="002F5B2B"/>
    <w:rsid w:val="002F6402"/>
    <w:rsid w:val="002F6DFC"/>
    <w:rsid w:val="002F6FBD"/>
    <w:rsid w:val="0030015A"/>
    <w:rsid w:val="00300B9C"/>
    <w:rsid w:val="0030355A"/>
    <w:rsid w:val="00303B0C"/>
    <w:rsid w:val="00303DEC"/>
    <w:rsid w:val="00303F22"/>
    <w:rsid w:val="00304477"/>
    <w:rsid w:val="00304509"/>
    <w:rsid w:val="00304FDC"/>
    <w:rsid w:val="0031054F"/>
    <w:rsid w:val="003107C0"/>
    <w:rsid w:val="00310DA4"/>
    <w:rsid w:val="00313C23"/>
    <w:rsid w:val="003151F0"/>
    <w:rsid w:val="00316FD5"/>
    <w:rsid w:val="00317748"/>
    <w:rsid w:val="00317BA2"/>
    <w:rsid w:val="00317FA2"/>
    <w:rsid w:val="003200D2"/>
    <w:rsid w:val="00320D00"/>
    <w:rsid w:val="00321510"/>
    <w:rsid w:val="00321817"/>
    <w:rsid w:val="00321C6E"/>
    <w:rsid w:val="00321C9C"/>
    <w:rsid w:val="00321FE6"/>
    <w:rsid w:val="003230E9"/>
    <w:rsid w:val="0032512A"/>
    <w:rsid w:val="00325667"/>
    <w:rsid w:val="00326FB1"/>
    <w:rsid w:val="003275AD"/>
    <w:rsid w:val="003277D0"/>
    <w:rsid w:val="00331314"/>
    <w:rsid w:val="00331840"/>
    <w:rsid w:val="00331C5D"/>
    <w:rsid w:val="00333454"/>
    <w:rsid w:val="0033348D"/>
    <w:rsid w:val="00334102"/>
    <w:rsid w:val="0033491B"/>
    <w:rsid w:val="00334DF4"/>
    <w:rsid w:val="0033547C"/>
    <w:rsid w:val="00335610"/>
    <w:rsid w:val="00335910"/>
    <w:rsid w:val="00335ED5"/>
    <w:rsid w:val="00336077"/>
    <w:rsid w:val="00336495"/>
    <w:rsid w:val="00336CDA"/>
    <w:rsid w:val="00336F96"/>
    <w:rsid w:val="00340C93"/>
    <w:rsid w:val="00341854"/>
    <w:rsid w:val="00343256"/>
    <w:rsid w:val="003437AC"/>
    <w:rsid w:val="00343B30"/>
    <w:rsid w:val="003444BA"/>
    <w:rsid w:val="00345263"/>
    <w:rsid w:val="00347B40"/>
    <w:rsid w:val="00352236"/>
    <w:rsid w:val="00352E84"/>
    <w:rsid w:val="003534CE"/>
    <w:rsid w:val="00354988"/>
    <w:rsid w:val="003555E9"/>
    <w:rsid w:val="003559AC"/>
    <w:rsid w:val="00356038"/>
    <w:rsid w:val="00356895"/>
    <w:rsid w:val="00356A3B"/>
    <w:rsid w:val="003625A0"/>
    <w:rsid w:val="003629E8"/>
    <w:rsid w:val="00362BD8"/>
    <w:rsid w:val="00362C4A"/>
    <w:rsid w:val="00363D4D"/>
    <w:rsid w:val="0036508E"/>
    <w:rsid w:val="003656A0"/>
    <w:rsid w:val="00365940"/>
    <w:rsid w:val="003664AC"/>
    <w:rsid w:val="00367C18"/>
    <w:rsid w:val="00367ED5"/>
    <w:rsid w:val="003701E9"/>
    <w:rsid w:val="0037041B"/>
    <w:rsid w:val="00370752"/>
    <w:rsid w:val="00370BF1"/>
    <w:rsid w:val="0037138D"/>
    <w:rsid w:val="0037221B"/>
    <w:rsid w:val="003740E6"/>
    <w:rsid w:val="003746EE"/>
    <w:rsid w:val="00374E73"/>
    <w:rsid w:val="00375327"/>
    <w:rsid w:val="003755A0"/>
    <w:rsid w:val="00375946"/>
    <w:rsid w:val="00375A13"/>
    <w:rsid w:val="00375B1D"/>
    <w:rsid w:val="0037672A"/>
    <w:rsid w:val="003776F7"/>
    <w:rsid w:val="00377BB8"/>
    <w:rsid w:val="00377E75"/>
    <w:rsid w:val="00381DD2"/>
    <w:rsid w:val="00381F92"/>
    <w:rsid w:val="003829E9"/>
    <w:rsid w:val="00382FB2"/>
    <w:rsid w:val="0038361F"/>
    <w:rsid w:val="00383C9F"/>
    <w:rsid w:val="00384554"/>
    <w:rsid w:val="00384AB3"/>
    <w:rsid w:val="00385E11"/>
    <w:rsid w:val="0038626C"/>
    <w:rsid w:val="00386CD6"/>
    <w:rsid w:val="00386E76"/>
    <w:rsid w:val="003907BC"/>
    <w:rsid w:val="00390AD0"/>
    <w:rsid w:val="0039106E"/>
    <w:rsid w:val="0039240E"/>
    <w:rsid w:val="00393E1E"/>
    <w:rsid w:val="00393E4F"/>
    <w:rsid w:val="00393FF6"/>
    <w:rsid w:val="00394256"/>
    <w:rsid w:val="00394B58"/>
    <w:rsid w:val="00396059"/>
    <w:rsid w:val="00396CF3"/>
    <w:rsid w:val="003976CA"/>
    <w:rsid w:val="0039785B"/>
    <w:rsid w:val="00397AF0"/>
    <w:rsid w:val="00397CB9"/>
    <w:rsid w:val="00397E75"/>
    <w:rsid w:val="003A063E"/>
    <w:rsid w:val="003A095A"/>
    <w:rsid w:val="003A1026"/>
    <w:rsid w:val="003A11CF"/>
    <w:rsid w:val="003A1D4C"/>
    <w:rsid w:val="003A21E8"/>
    <w:rsid w:val="003A22BC"/>
    <w:rsid w:val="003A27E3"/>
    <w:rsid w:val="003A4535"/>
    <w:rsid w:val="003A5910"/>
    <w:rsid w:val="003A5FB0"/>
    <w:rsid w:val="003A6115"/>
    <w:rsid w:val="003A6AA7"/>
    <w:rsid w:val="003A6CAC"/>
    <w:rsid w:val="003A7636"/>
    <w:rsid w:val="003B0815"/>
    <w:rsid w:val="003B0879"/>
    <w:rsid w:val="003B128F"/>
    <w:rsid w:val="003B13CE"/>
    <w:rsid w:val="003B1887"/>
    <w:rsid w:val="003B1AA3"/>
    <w:rsid w:val="003B2AEE"/>
    <w:rsid w:val="003B2C32"/>
    <w:rsid w:val="003B2CF6"/>
    <w:rsid w:val="003B2ED0"/>
    <w:rsid w:val="003B45FB"/>
    <w:rsid w:val="003B57C0"/>
    <w:rsid w:val="003B6264"/>
    <w:rsid w:val="003B7114"/>
    <w:rsid w:val="003C0F53"/>
    <w:rsid w:val="003C20E2"/>
    <w:rsid w:val="003C2BB1"/>
    <w:rsid w:val="003C40BD"/>
    <w:rsid w:val="003C40D6"/>
    <w:rsid w:val="003C5122"/>
    <w:rsid w:val="003C56FE"/>
    <w:rsid w:val="003C5BE8"/>
    <w:rsid w:val="003C60D3"/>
    <w:rsid w:val="003C75A6"/>
    <w:rsid w:val="003D112E"/>
    <w:rsid w:val="003D1313"/>
    <w:rsid w:val="003D140A"/>
    <w:rsid w:val="003D1675"/>
    <w:rsid w:val="003D2A83"/>
    <w:rsid w:val="003D2BEA"/>
    <w:rsid w:val="003D2D44"/>
    <w:rsid w:val="003D3819"/>
    <w:rsid w:val="003D4014"/>
    <w:rsid w:val="003D479F"/>
    <w:rsid w:val="003D5662"/>
    <w:rsid w:val="003D5935"/>
    <w:rsid w:val="003D6F68"/>
    <w:rsid w:val="003D7D43"/>
    <w:rsid w:val="003E0160"/>
    <w:rsid w:val="003E0350"/>
    <w:rsid w:val="003E225B"/>
    <w:rsid w:val="003E2728"/>
    <w:rsid w:val="003E31DA"/>
    <w:rsid w:val="003E3B19"/>
    <w:rsid w:val="003E3D50"/>
    <w:rsid w:val="003E4A35"/>
    <w:rsid w:val="003E52DE"/>
    <w:rsid w:val="003E5361"/>
    <w:rsid w:val="003E65DF"/>
    <w:rsid w:val="003E760A"/>
    <w:rsid w:val="003E7955"/>
    <w:rsid w:val="003E7EDB"/>
    <w:rsid w:val="003F1ECE"/>
    <w:rsid w:val="003F2F0D"/>
    <w:rsid w:val="003F3050"/>
    <w:rsid w:val="003F5436"/>
    <w:rsid w:val="003F5D3D"/>
    <w:rsid w:val="003F62F1"/>
    <w:rsid w:val="003F6C1C"/>
    <w:rsid w:val="003F6D82"/>
    <w:rsid w:val="003F6E58"/>
    <w:rsid w:val="003F7314"/>
    <w:rsid w:val="0040022E"/>
    <w:rsid w:val="004009C0"/>
    <w:rsid w:val="00400C01"/>
    <w:rsid w:val="0040187C"/>
    <w:rsid w:val="004018AF"/>
    <w:rsid w:val="00402B46"/>
    <w:rsid w:val="00403E98"/>
    <w:rsid w:val="004041B8"/>
    <w:rsid w:val="004052F0"/>
    <w:rsid w:val="004052F3"/>
    <w:rsid w:val="004058E9"/>
    <w:rsid w:val="0040646A"/>
    <w:rsid w:val="0040693A"/>
    <w:rsid w:val="0040709F"/>
    <w:rsid w:val="00407199"/>
    <w:rsid w:val="00407A45"/>
    <w:rsid w:val="00407FD0"/>
    <w:rsid w:val="004109AC"/>
    <w:rsid w:val="00410FC8"/>
    <w:rsid w:val="00411685"/>
    <w:rsid w:val="00411DFE"/>
    <w:rsid w:val="00411E1D"/>
    <w:rsid w:val="00411E8F"/>
    <w:rsid w:val="00412CB8"/>
    <w:rsid w:val="00415957"/>
    <w:rsid w:val="00415B32"/>
    <w:rsid w:val="0041687B"/>
    <w:rsid w:val="00416A6E"/>
    <w:rsid w:val="00416AB3"/>
    <w:rsid w:val="0041723C"/>
    <w:rsid w:val="00417D04"/>
    <w:rsid w:val="0042102C"/>
    <w:rsid w:val="0042141C"/>
    <w:rsid w:val="0042149C"/>
    <w:rsid w:val="00421B27"/>
    <w:rsid w:val="00422172"/>
    <w:rsid w:val="00422C81"/>
    <w:rsid w:val="0042399A"/>
    <w:rsid w:val="00424281"/>
    <w:rsid w:val="00424F89"/>
    <w:rsid w:val="00425899"/>
    <w:rsid w:val="00427AE9"/>
    <w:rsid w:val="00431688"/>
    <w:rsid w:val="00432C0C"/>
    <w:rsid w:val="0043448B"/>
    <w:rsid w:val="00434DC3"/>
    <w:rsid w:val="00435F1F"/>
    <w:rsid w:val="00436737"/>
    <w:rsid w:val="004368CD"/>
    <w:rsid w:val="00436F1D"/>
    <w:rsid w:val="0043773E"/>
    <w:rsid w:val="00437D8C"/>
    <w:rsid w:val="00441FC8"/>
    <w:rsid w:val="00442190"/>
    <w:rsid w:val="0044279B"/>
    <w:rsid w:val="00442CDD"/>
    <w:rsid w:val="00443468"/>
    <w:rsid w:val="0044354D"/>
    <w:rsid w:val="004435E3"/>
    <w:rsid w:val="004442A1"/>
    <w:rsid w:val="004448DA"/>
    <w:rsid w:val="00444963"/>
    <w:rsid w:val="00447972"/>
    <w:rsid w:val="00450096"/>
    <w:rsid w:val="00450AAA"/>
    <w:rsid w:val="00450C75"/>
    <w:rsid w:val="00450ECF"/>
    <w:rsid w:val="0045117C"/>
    <w:rsid w:val="0045177F"/>
    <w:rsid w:val="00451B2B"/>
    <w:rsid w:val="004520A5"/>
    <w:rsid w:val="00452BB0"/>
    <w:rsid w:val="004554DC"/>
    <w:rsid w:val="00455A27"/>
    <w:rsid w:val="00457728"/>
    <w:rsid w:val="0046001B"/>
    <w:rsid w:val="004608FB"/>
    <w:rsid w:val="00460F46"/>
    <w:rsid w:val="0046181D"/>
    <w:rsid w:val="00461CBE"/>
    <w:rsid w:val="00461CEB"/>
    <w:rsid w:val="00462E32"/>
    <w:rsid w:val="00463A55"/>
    <w:rsid w:val="0046459B"/>
    <w:rsid w:val="00465427"/>
    <w:rsid w:val="004656AA"/>
    <w:rsid w:val="004659B4"/>
    <w:rsid w:val="00467068"/>
    <w:rsid w:val="00470368"/>
    <w:rsid w:val="00470597"/>
    <w:rsid w:val="00470904"/>
    <w:rsid w:val="00470AA1"/>
    <w:rsid w:val="00470D68"/>
    <w:rsid w:val="004721F8"/>
    <w:rsid w:val="004722D9"/>
    <w:rsid w:val="00472603"/>
    <w:rsid w:val="0047516D"/>
    <w:rsid w:val="0047572F"/>
    <w:rsid w:val="00475AF3"/>
    <w:rsid w:val="00475BEF"/>
    <w:rsid w:val="00477E05"/>
    <w:rsid w:val="00480589"/>
    <w:rsid w:val="004807C1"/>
    <w:rsid w:val="004813CA"/>
    <w:rsid w:val="00481EF6"/>
    <w:rsid w:val="0048258E"/>
    <w:rsid w:val="00483356"/>
    <w:rsid w:val="0048384B"/>
    <w:rsid w:val="0048454B"/>
    <w:rsid w:val="0048470D"/>
    <w:rsid w:val="00484EBC"/>
    <w:rsid w:val="00485D59"/>
    <w:rsid w:val="004862B6"/>
    <w:rsid w:val="004869B4"/>
    <w:rsid w:val="00487089"/>
    <w:rsid w:val="0048711F"/>
    <w:rsid w:val="00487B1C"/>
    <w:rsid w:val="00487BAF"/>
    <w:rsid w:val="00490B6F"/>
    <w:rsid w:val="004941C5"/>
    <w:rsid w:val="004945E6"/>
    <w:rsid w:val="00494956"/>
    <w:rsid w:val="00496592"/>
    <w:rsid w:val="004969AA"/>
    <w:rsid w:val="0049756D"/>
    <w:rsid w:val="004975F0"/>
    <w:rsid w:val="00497E6F"/>
    <w:rsid w:val="004A0A61"/>
    <w:rsid w:val="004A0ECD"/>
    <w:rsid w:val="004A12DD"/>
    <w:rsid w:val="004A1AAA"/>
    <w:rsid w:val="004A27E0"/>
    <w:rsid w:val="004A5988"/>
    <w:rsid w:val="004A60C4"/>
    <w:rsid w:val="004A647D"/>
    <w:rsid w:val="004A675E"/>
    <w:rsid w:val="004A6CB2"/>
    <w:rsid w:val="004A6E0A"/>
    <w:rsid w:val="004A702B"/>
    <w:rsid w:val="004B105F"/>
    <w:rsid w:val="004B110E"/>
    <w:rsid w:val="004B1B3B"/>
    <w:rsid w:val="004B26BD"/>
    <w:rsid w:val="004B3661"/>
    <w:rsid w:val="004B4945"/>
    <w:rsid w:val="004B60F4"/>
    <w:rsid w:val="004B6293"/>
    <w:rsid w:val="004B6EC5"/>
    <w:rsid w:val="004B71A8"/>
    <w:rsid w:val="004B7A46"/>
    <w:rsid w:val="004C0DA2"/>
    <w:rsid w:val="004C2442"/>
    <w:rsid w:val="004C2CA3"/>
    <w:rsid w:val="004C31DF"/>
    <w:rsid w:val="004C3BA9"/>
    <w:rsid w:val="004C4228"/>
    <w:rsid w:val="004C4B79"/>
    <w:rsid w:val="004C4F10"/>
    <w:rsid w:val="004C6282"/>
    <w:rsid w:val="004C64A3"/>
    <w:rsid w:val="004C6DDB"/>
    <w:rsid w:val="004C76A3"/>
    <w:rsid w:val="004C7C3F"/>
    <w:rsid w:val="004C7F33"/>
    <w:rsid w:val="004D011E"/>
    <w:rsid w:val="004D0AC3"/>
    <w:rsid w:val="004D0EAF"/>
    <w:rsid w:val="004D2B00"/>
    <w:rsid w:val="004D2DFC"/>
    <w:rsid w:val="004D3EA6"/>
    <w:rsid w:val="004D4219"/>
    <w:rsid w:val="004D4502"/>
    <w:rsid w:val="004D4823"/>
    <w:rsid w:val="004D4D46"/>
    <w:rsid w:val="004D55A6"/>
    <w:rsid w:val="004D67DE"/>
    <w:rsid w:val="004D6AA0"/>
    <w:rsid w:val="004D6F99"/>
    <w:rsid w:val="004D7909"/>
    <w:rsid w:val="004D7986"/>
    <w:rsid w:val="004D7B45"/>
    <w:rsid w:val="004D7BCD"/>
    <w:rsid w:val="004D7F70"/>
    <w:rsid w:val="004E002A"/>
    <w:rsid w:val="004E0318"/>
    <w:rsid w:val="004E0B68"/>
    <w:rsid w:val="004E0E0C"/>
    <w:rsid w:val="004E0EC9"/>
    <w:rsid w:val="004E0F5F"/>
    <w:rsid w:val="004E146E"/>
    <w:rsid w:val="004E1DF3"/>
    <w:rsid w:val="004E339A"/>
    <w:rsid w:val="004E3B4B"/>
    <w:rsid w:val="004E4A11"/>
    <w:rsid w:val="004E4F0A"/>
    <w:rsid w:val="004E624C"/>
    <w:rsid w:val="004E6EC8"/>
    <w:rsid w:val="004F0714"/>
    <w:rsid w:val="004F17D9"/>
    <w:rsid w:val="004F1EEE"/>
    <w:rsid w:val="004F26AA"/>
    <w:rsid w:val="004F2E00"/>
    <w:rsid w:val="004F38FE"/>
    <w:rsid w:val="004F4795"/>
    <w:rsid w:val="004F5BA5"/>
    <w:rsid w:val="004F5E06"/>
    <w:rsid w:val="004F5EF1"/>
    <w:rsid w:val="004F5FF8"/>
    <w:rsid w:val="004F61DA"/>
    <w:rsid w:val="004F62B9"/>
    <w:rsid w:val="004F6EA8"/>
    <w:rsid w:val="00500251"/>
    <w:rsid w:val="00500509"/>
    <w:rsid w:val="00502132"/>
    <w:rsid w:val="00502235"/>
    <w:rsid w:val="005027E8"/>
    <w:rsid w:val="0050369A"/>
    <w:rsid w:val="0050497F"/>
    <w:rsid w:val="00504A8B"/>
    <w:rsid w:val="00504F6E"/>
    <w:rsid w:val="0050582D"/>
    <w:rsid w:val="005062BD"/>
    <w:rsid w:val="00506DFD"/>
    <w:rsid w:val="005104AF"/>
    <w:rsid w:val="00512AE7"/>
    <w:rsid w:val="00512E3F"/>
    <w:rsid w:val="005137D6"/>
    <w:rsid w:val="00513C84"/>
    <w:rsid w:val="00513CD8"/>
    <w:rsid w:val="00513FC2"/>
    <w:rsid w:val="005140BD"/>
    <w:rsid w:val="005148E7"/>
    <w:rsid w:val="005149CB"/>
    <w:rsid w:val="0051510B"/>
    <w:rsid w:val="00516078"/>
    <w:rsid w:val="005176F2"/>
    <w:rsid w:val="0051795A"/>
    <w:rsid w:val="00520023"/>
    <w:rsid w:val="0052037F"/>
    <w:rsid w:val="00520B4E"/>
    <w:rsid w:val="00522363"/>
    <w:rsid w:val="005228B8"/>
    <w:rsid w:val="005232BB"/>
    <w:rsid w:val="005235B8"/>
    <w:rsid w:val="00523CFA"/>
    <w:rsid w:val="005246C0"/>
    <w:rsid w:val="005263F4"/>
    <w:rsid w:val="005264B9"/>
    <w:rsid w:val="00526770"/>
    <w:rsid w:val="005271B2"/>
    <w:rsid w:val="005306F3"/>
    <w:rsid w:val="00532D0C"/>
    <w:rsid w:val="005332D5"/>
    <w:rsid w:val="0053516C"/>
    <w:rsid w:val="0053529F"/>
    <w:rsid w:val="00535B5A"/>
    <w:rsid w:val="00535F41"/>
    <w:rsid w:val="005364F7"/>
    <w:rsid w:val="00536573"/>
    <w:rsid w:val="0053659B"/>
    <w:rsid w:val="005373B6"/>
    <w:rsid w:val="00537667"/>
    <w:rsid w:val="00537CDD"/>
    <w:rsid w:val="00540AEA"/>
    <w:rsid w:val="00541023"/>
    <w:rsid w:val="005410AC"/>
    <w:rsid w:val="00541790"/>
    <w:rsid w:val="0054318A"/>
    <w:rsid w:val="00543616"/>
    <w:rsid w:val="00543B77"/>
    <w:rsid w:val="005440E8"/>
    <w:rsid w:val="0054530E"/>
    <w:rsid w:val="00545BBD"/>
    <w:rsid w:val="00546BC7"/>
    <w:rsid w:val="005510E8"/>
    <w:rsid w:val="00551967"/>
    <w:rsid w:val="00552540"/>
    <w:rsid w:val="00552A07"/>
    <w:rsid w:val="00553683"/>
    <w:rsid w:val="0055558B"/>
    <w:rsid w:val="005576A8"/>
    <w:rsid w:val="005604D6"/>
    <w:rsid w:val="00560752"/>
    <w:rsid w:val="005616CC"/>
    <w:rsid w:val="00561E4E"/>
    <w:rsid w:val="005626D5"/>
    <w:rsid w:val="00562A6B"/>
    <w:rsid w:val="005633CA"/>
    <w:rsid w:val="0056391D"/>
    <w:rsid w:val="00564BD3"/>
    <w:rsid w:val="005656DF"/>
    <w:rsid w:val="00565F77"/>
    <w:rsid w:val="00566C7E"/>
    <w:rsid w:val="005670C9"/>
    <w:rsid w:val="00567D90"/>
    <w:rsid w:val="005705F9"/>
    <w:rsid w:val="00570E5E"/>
    <w:rsid w:val="0057158A"/>
    <w:rsid w:val="005721C7"/>
    <w:rsid w:val="00572ACE"/>
    <w:rsid w:val="00573D1B"/>
    <w:rsid w:val="0057480E"/>
    <w:rsid w:val="00574961"/>
    <w:rsid w:val="00574AE7"/>
    <w:rsid w:val="00575742"/>
    <w:rsid w:val="00575761"/>
    <w:rsid w:val="00576317"/>
    <w:rsid w:val="00577574"/>
    <w:rsid w:val="0057768B"/>
    <w:rsid w:val="0057780F"/>
    <w:rsid w:val="00577A21"/>
    <w:rsid w:val="00580AAC"/>
    <w:rsid w:val="005826F7"/>
    <w:rsid w:val="00582985"/>
    <w:rsid w:val="005846FF"/>
    <w:rsid w:val="0058622C"/>
    <w:rsid w:val="00586383"/>
    <w:rsid w:val="005865E1"/>
    <w:rsid w:val="0058697E"/>
    <w:rsid w:val="00587C44"/>
    <w:rsid w:val="00590C1F"/>
    <w:rsid w:val="00590CC9"/>
    <w:rsid w:val="00590D6B"/>
    <w:rsid w:val="00590E7B"/>
    <w:rsid w:val="00590FFE"/>
    <w:rsid w:val="005910A7"/>
    <w:rsid w:val="0059137C"/>
    <w:rsid w:val="00591843"/>
    <w:rsid w:val="005918DB"/>
    <w:rsid w:val="00591D0D"/>
    <w:rsid w:val="005924A4"/>
    <w:rsid w:val="00594DFD"/>
    <w:rsid w:val="0059654B"/>
    <w:rsid w:val="005968D9"/>
    <w:rsid w:val="00597342"/>
    <w:rsid w:val="005973DD"/>
    <w:rsid w:val="005A049C"/>
    <w:rsid w:val="005A0847"/>
    <w:rsid w:val="005A1275"/>
    <w:rsid w:val="005A1FC7"/>
    <w:rsid w:val="005A2BD6"/>
    <w:rsid w:val="005A3223"/>
    <w:rsid w:val="005A3357"/>
    <w:rsid w:val="005A4198"/>
    <w:rsid w:val="005A4581"/>
    <w:rsid w:val="005A4684"/>
    <w:rsid w:val="005A46AC"/>
    <w:rsid w:val="005A61D8"/>
    <w:rsid w:val="005A6850"/>
    <w:rsid w:val="005A70EF"/>
    <w:rsid w:val="005B016B"/>
    <w:rsid w:val="005B1419"/>
    <w:rsid w:val="005B17BD"/>
    <w:rsid w:val="005B1CCA"/>
    <w:rsid w:val="005B2113"/>
    <w:rsid w:val="005B2900"/>
    <w:rsid w:val="005B38B6"/>
    <w:rsid w:val="005B3B71"/>
    <w:rsid w:val="005B3C29"/>
    <w:rsid w:val="005B4008"/>
    <w:rsid w:val="005B563E"/>
    <w:rsid w:val="005B661E"/>
    <w:rsid w:val="005B6C97"/>
    <w:rsid w:val="005B7714"/>
    <w:rsid w:val="005B7F68"/>
    <w:rsid w:val="005C082F"/>
    <w:rsid w:val="005C1A87"/>
    <w:rsid w:val="005C2237"/>
    <w:rsid w:val="005C22E2"/>
    <w:rsid w:val="005C2720"/>
    <w:rsid w:val="005C2C87"/>
    <w:rsid w:val="005C30C8"/>
    <w:rsid w:val="005C44C9"/>
    <w:rsid w:val="005C4F0E"/>
    <w:rsid w:val="005C5453"/>
    <w:rsid w:val="005C6343"/>
    <w:rsid w:val="005C63CE"/>
    <w:rsid w:val="005C69ED"/>
    <w:rsid w:val="005C6CCA"/>
    <w:rsid w:val="005C6EA7"/>
    <w:rsid w:val="005C706B"/>
    <w:rsid w:val="005C7684"/>
    <w:rsid w:val="005D0035"/>
    <w:rsid w:val="005D068B"/>
    <w:rsid w:val="005D0FF1"/>
    <w:rsid w:val="005D1B15"/>
    <w:rsid w:val="005D2C2A"/>
    <w:rsid w:val="005D3003"/>
    <w:rsid w:val="005D3014"/>
    <w:rsid w:val="005D357F"/>
    <w:rsid w:val="005D3609"/>
    <w:rsid w:val="005D547A"/>
    <w:rsid w:val="005D5560"/>
    <w:rsid w:val="005D5A8D"/>
    <w:rsid w:val="005D6505"/>
    <w:rsid w:val="005D6D9F"/>
    <w:rsid w:val="005D7468"/>
    <w:rsid w:val="005D774F"/>
    <w:rsid w:val="005D7DD5"/>
    <w:rsid w:val="005E00AA"/>
    <w:rsid w:val="005E00F1"/>
    <w:rsid w:val="005E0101"/>
    <w:rsid w:val="005E031E"/>
    <w:rsid w:val="005E05A7"/>
    <w:rsid w:val="005E076B"/>
    <w:rsid w:val="005E08CB"/>
    <w:rsid w:val="005E1003"/>
    <w:rsid w:val="005E2C2A"/>
    <w:rsid w:val="005E31E7"/>
    <w:rsid w:val="005E4C62"/>
    <w:rsid w:val="005E4D6E"/>
    <w:rsid w:val="005E7BF8"/>
    <w:rsid w:val="005E7F05"/>
    <w:rsid w:val="005F08DF"/>
    <w:rsid w:val="005F0D7F"/>
    <w:rsid w:val="005F3651"/>
    <w:rsid w:val="005F392D"/>
    <w:rsid w:val="005F4AD8"/>
    <w:rsid w:val="005F5D74"/>
    <w:rsid w:val="005F645B"/>
    <w:rsid w:val="005F7794"/>
    <w:rsid w:val="005F7D76"/>
    <w:rsid w:val="00600127"/>
    <w:rsid w:val="006007F0"/>
    <w:rsid w:val="00601C4F"/>
    <w:rsid w:val="00602CC6"/>
    <w:rsid w:val="00604BA7"/>
    <w:rsid w:val="00605333"/>
    <w:rsid w:val="006056C1"/>
    <w:rsid w:val="006064DD"/>
    <w:rsid w:val="006068B0"/>
    <w:rsid w:val="00606A10"/>
    <w:rsid w:val="00606FD9"/>
    <w:rsid w:val="006108B4"/>
    <w:rsid w:val="0061129E"/>
    <w:rsid w:val="00611556"/>
    <w:rsid w:val="006117AC"/>
    <w:rsid w:val="0061191E"/>
    <w:rsid w:val="00611C14"/>
    <w:rsid w:val="006128A3"/>
    <w:rsid w:val="00612A49"/>
    <w:rsid w:val="00612C3A"/>
    <w:rsid w:val="00614024"/>
    <w:rsid w:val="00615252"/>
    <w:rsid w:val="00620860"/>
    <w:rsid w:val="006222E6"/>
    <w:rsid w:val="0062264D"/>
    <w:rsid w:val="0062287C"/>
    <w:rsid w:val="00622A22"/>
    <w:rsid w:val="006230E2"/>
    <w:rsid w:val="00623795"/>
    <w:rsid w:val="00625007"/>
    <w:rsid w:val="00626EEA"/>
    <w:rsid w:val="006278D0"/>
    <w:rsid w:val="00627E50"/>
    <w:rsid w:val="0063048F"/>
    <w:rsid w:val="006304CA"/>
    <w:rsid w:val="00630C20"/>
    <w:rsid w:val="0063110B"/>
    <w:rsid w:val="0063135E"/>
    <w:rsid w:val="00632B1D"/>
    <w:rsid w:val="00632E24"/>
    <w:rsid w:val="00633740"/>
    <w:rsid w:val="00637CD2"/>
    <w:rsid w:val="006405D1"/>
    <w:rsid w:val="006411C0"/>
    <w:rsid w:val="0064268D"/>
    <w:rsid w:val="00644D5E"/>
    <w:rsid w:val="00646268"/>
    <w:rsid w:val="00647716"/>
    <w:rsid w:val="006479C6"/>
    <w:rsid w:val="00647C5F"/>
    <w:rsid w:val="00650D71"/>
    <w:rsid w:val="00651488"/>
    <w:rsid w:val="0065153A"/>
    <w:rsid w:val="00651A3B"/>
    <w:rsid w:val="00651A99"/>
    <w:rsid w:val="00651BA4"/>
    <w:rsid w:val="00652320"/>
    <w:rsid w:val="00652361"/>
    <w:rsid w:val="006524F2"/>
    <w:rsid w:val="00652DB0"/>
    <w:rsid w:val="00652FE6"/>
    <w:rsid w:val="00653487"/>
    <w:rsid w:val="006535ED"/>
    <w:rsid w:val="00655731"/>
    <w:rsid w:val="006558BD"/>
    <w:rsid w:val="00655ED9"/>
    <w:rsid w:val="00655FB7"/>
    <w:rsid w:val="0065756F"/>
    <w:rsid w:val="00657BBD"/>
    <w:rsid w:val="00660798"/>
    <w:rsid w:val="00660BCB"/>
    <w:rsid w:val="00661233"/>
    <w:rsid w:val="00661639"/>
    <w:rsid w:val="006616DF"/>
    <w:rsid w:val="006628E5"/>
    <w:rsid w:val="00662CF0"/>
    <w:rsid w:val="006633C7"/>
    <w:rsid w:val="006635C7"/>
    <w:rsid w:val="00663D20"/>
    <w:rsid w:val="00663E35"/>
    <w:rsid w:val="00664420"/>
    <w:rsid w:val="0066461E"/>
    <w:rsid w:val="00664B8C"/>
    <w:rsid w:val="006655D3"/>
    <w:rsid w:val="006674B9"/>
    <w:rsid w:val="0067052C"/>
    <w:rsid w:val="00670AEF"/>
    <w:rsid w:val="00670C61"/>
    <w:rsid w:val="0067237E"/>
    <w:rsid w:val="006725BE"/>
    <w:rsid w:val="00672D69"/>
    <w:rsid w:val="00673628"/>
    <w:rsid w:val="006744A8"/>
    <w:rsid w:val="00674AFD"/>
    <w:rsid w:val="00675DEE"/>
    <w:rsid w:val="006760AF"/>
    <w:rsid w:val="00676733"/>
    <w:rsid w:val="00676AFF"/>
    <w:rsid w:val="00676D43"/>
    <w:rsid w:val="006770EC"/>
    <w:rsid w:val="00677BAB"/>
    <w:rsid w:val="00681818"/>
    <w:rsid w:val="00681D6F"/>
    <w:rsid w:val="006835BA"/>
    <w:rsid w:val="00684280"/>
    <w:rsid w:val="00684409"/>
    <w:rsid w:val="006849B6"/>
    <w:rsid w:val="00684FCB"/>
    <w:rsid w:val="00685B0D"/>
    <w:rsid w:val="00685EC9"/>
    <w:rsid w:val="00686906"/>
    <w:rsid w:val="00686B11"/>
    <w:rsid w:val="00686E6A"/>
    <w:rsid w:val="006870DB"/>
    <w:rsid w:val="00687455"/>
    <w:rsid w:val="00691491"/>
    <w:rsid w:val="006916E5"/>
    <w:rsid w:val="0069175F"/>
    <w:rsid w:val="00691955"/>
    <w:rsid w:val="00691F47"/>
    <w:rsid w:val="00691F6D"/>
    <w:rsid w:val="006936B3"/>
    <w:rsid w:val="006938DA"/>
    <w:rsid w:val="00693F51"/>
    <w:rsid w:val="00695453"/>
    <w:rsid w:val="00695D71"/>
    <w:rsid w:val="006A058F"/>
    <w:rsid w:val="006A06C6"/>
    <w:rsid w:val="006A070B"/>
    <w:rsid w:val="006A0761"/>
    <w:rsid w:val="006A17A3"/>
    <w:rsid w:val="006A1B8A"/>
    <w:rsid w:val="006A2854"/>
    <w:rsid w:val="006A36CC"/>
    <w:rsid w:val="006A47D0"/>
    <w:rsid w:val="006A4EC5"/>
    <w:rsid w:val="006A6BCB"/>
    <w:rsid w:val="006A6E91"/>
    <w:rsid w:val="006B1406"/>
    <w:rsid w:val="006B18F0"/>
    <w:rsid w:val="006B2D97"/>
    <w:rsid w:val="006B3FCC"/>
    <w:rsid w:val="006B4746"/>
    <w:rsid w:val="006B4DD7"/>
    <w:rsid w:val="006B5126"/>
    <w:rsid w:val="006B6808"/>
    <w:rsid w:val="006B718B"/>
    <w:rsid w:val="006C2040"/>
    <w:rsid w:val="006C34CC"/>
    <w:rsid w:val="006C5A3E"/>
    <w:rsid w:val="006C5B36"/>
    <w:rsid w:val="006C6D95"/>
    <w:rsid w:val="006C7A89"/>
    <w:rsid w:val="006D170F"/>
    <w:rsid w:val="006D1F59"/>
    <w:rsid w:val="006D250E"/>
    <w:rsid w:val="006D304D"/>
    <w:rsid w:val="006D3928"/>
    <w:rsid w:val="006D4B0F"/>
    <w:rsid w:val="006D4B98"/>
    <w:rsid w:val="006D547E"/>
    <w:rsid w:val="006D5572"/>
    <w:rsid w:val="006D62B4"/>
    <w:rsid w:val="006D6CF9"/>
    <w:rsid w:val="006D7D2B"/>
    <w:rsid w:val="006D7FBB"/>
    <w:rsid w:val="006E0071"/>
    <w:rsid w:val="006E11FC"/>
    <w:rsid w:val="006E1A9B"/>
    <w:rsid w:val="006E1DC6"/>
    <w:rsid w:val="006E1FFE"/>
    <w:rsid w:val="006E2DF0"/>
    <w:rsid w:val="006E38BB"/>
    <w:rsid w:val="006E3B92"/>
    <w:rsid w:val="006E43E7"/>
    <w:rsid w:val="006E6389"/>
    <w:rsid w:val="006E645B"/>
    <w:rsid w:val="006E6E09"/>
    <w:rsid w:val="006E7F11"/>
    <w:rsid w:val="006F149C"/>
    <w:rsid w:val="006F184C"/>
    <w:rsid w:val="006F3138"/>
    <w:rsid w:val="006F3B59"/>
    <w:rsid w:val="006F44B8"/>
    <w:rsid w:val="006F554A"/>
    <w:rsid w:val="006F565D"/>
    <w:rsid w:val="006F6138"/>
    <w:rsid w:val="006F631B"/>
    <w:rsid w:val="006F6592"/>
    <w:rsid w:val="006F79F5"/>
    <w:rsid w:val="006F7A84"/>
    <w:rsid w:val="00700475"/>
    <w:rsid w:val="007019A8"/>
    <w:rsid w:val="00701CC6"/>
    <w:rsid w:val="00701CFA"/>
    <w:rsid w:val="007024F8"/>
    <w:rsid w:val="00702E0E"/>
    <w:rsid w:val="0070338B"/>
    <w:rsid w:val="00703F12"/>
    <w:rsid w:val="0070481E"/>
    <w:rsid w:val="0070533A"/>
    <w:rsid w:val="007059D9"/>
    <w:rsid w:val="00706BE1"/>
    <w:rsid w:val="0070784A"/>
    <w:rsid w:val="007113C5"/>
    <w:rsid w:val="00711941"/>
    <w:rsid w:val="00711C31"/>
    <w:rsid w:val="007121FD"/>
    <w:rsid w:val="00713A8A"/>
    <w:rsid w:val="007143DD"/>
    <w:rsid w:val="00714476"/>
    <w:rsid w:val="0071456E"/>
    <w:rsid w:val="007148C1"/>
    <w:rsid w:val="00715B0C"/>
    <w:rsid w:val="0072096E"/>
    <w:rsid w:val="00721B1C"/>
    <w:rsid w:val="00722723"/>
    <w:rsid w:val="00722E3C"/>
    <w:rsid w:val="00723348"/>
    <w:rsid w:val="00723F15"/>
    <w:rsid w:val="0072666F"/>
    <w:rsid w:val="0073020E"/>
    <w:rsid w:val="0073052B"/>
    <w:rsid w:val="007321BC"/>
    <w:rsid w:val="007334FD"/>
    <w:rsid w:val="007347DE"/>
    <w:rsid w:val="007348A3"/>
    <w:rsid w:val="007351F4"/>
    <w:rsid w:val="0073573B"/>
    <w:rsid w:val="0073682E"/>
    <w:rsid w:val="00740626"/>
    <w:rsid w:val="00740C07"/>
    <w:rsid w:val="00742921"/>
    <w:rsid w:val="00742C0F"/>
    <w:rsid w:val="00742ECC"/>
    <w:rsid w:val="007434E5"/>
    <w:rsid w:val="00743865"/>
    <w:rsid w:val="00743F38"/>
    <w:rsid w:val="00745D81"/>
    <w:rsid w:val="00745DCD"/>
    <w:rsid w:val="0074669A"/>
    <w:rsid w:val="00746E25"/>
    <w:rsid w:val="00747F04"/>
    <w:rsid w:val="0075016E"/>
    <w:rsid w:val="007511A8"/>
    <w:rsid w:val="00751340"/>
    <w:rsid w:val="0075148D"/>
    <w:rsid w:val="00751495"/>
    <w:rsid w:val="00751861"/>
    <w:rsid w:val="00751CF1"/>
    <w:rsid w:val="0075201B"/>
    <w:rsid w:val="007553CA"/>
    <w:rsid w:val="00755DAC"/>
    <w:rsid w:val="0075763F"/>
    <w:rsid w:val="00757C88"/>
    <w:rsid w:val="0076059B"/>
    <w:rsid w:val="00760E98"/>
    <w:rsid w:val="00761717"/>
    <w:rsid w:val="00761966"/>
    <w:rsid w:val="00761E22"/>
    <w:rsid w:val="0076238E"/>
    <w:rsid w:val="00762397"/>
    <w:rsid w:val="00764294"/>
    <w:rsid w:val="00764670"/>
    <w:rsid w:val="007663B9"/>
    <w:rsid w:val="00767262"/>
    <w:rsid w:val="007676EA"/>
    <w:rsid w:val="00767D3E"/>
    <w:rsid w:val="0077017F"/>
    <w:rsid w:val="007706AF"/>
    <w:rsid w:val="0077144B"/>
    <w:rsid w:val="0077178F"/>
    <w:rsid w:val="0077216B"/>
    <w:rsid w:val="00772413"/>
    <w:rsid w:val="00773EF2"/>
    <w:rsid w:val="00774ABC"/>
    <w:rsid w:val="00775F63"/>
    <w:rsid w:val="007760ED"/>
    <w:rsid w:val="00776502"/>
    <w:rsid w:val="00776D66"/>
    <w:rsid w:val="007772DB"/>
    <w:rsid w:val="00777E53"/>
    <w:rsid w:val="00777F1E"/>
    <w:rsid w:val="00777F78"/>
    <w:rsid w:val="0078031D"/>
    <w:rsid w:val="0078068A"/>
    <w:rsid w:val="00780749"/>
    <w:rsid w:val="007807CB"/>
    <w:rsid w:val="0078249B"/>
    <w:rsid w:val="0078276E"/>
    <w:rsid w:val="007830FB"/>
    <w:rsid w:val="00783DFF"/>
    <w:rsid w:val="007840BC"/>
    <w:rsid w:val="0078681D"/>
    <w:rsid w:val="007902ED"/>
    <w:rsid w:val="0079098B"/>
    <w:rsid w:val="007916FC"/>
    <w:rsid w:val="00791D58"/>
    <w:rsid w:val="007931F1"/>
    <w:rsid w:val="007935CA"/>
    <w:rsid w:val="00794288"/>
    <w:rsid w:val="00796E1A"/>
    <w:rsid w:val="007A0E1F"/>
    <w:rsid w:val="007A1EE4"/>
    <w:rsid w:val="007A2715"/>
    <w:rsid w:val="007A297D"/>
    <w:rsid w:val="007A3F94"/>
    <w:rsid w:val="007A45AB"/>
    <w:rsid w:val="007A61F6"/>
    <w:rsid w:val="007A6252"/>
    <w:rsid w:val="007A6F39"/>
    <w:rsid w:val="007A7B9F"/>
    <w:rsid w:val="007A7F00"/>
    <w:rsid w:val="007B05F1"/>
    <w:rsid w:val="007B0BCA"/>
    <w:rsid w:val="007B0E92"/>
    <w:rsid w:val="007B1313"/>
    <w:rsid w:val="007B16CA"/>
    <w:rsid w:val="007B1F0A"/>
    <w:rsid w:val="007B2306"/>
    <w:rsid w:val="007B2E05"/>
    <w:rsid w:val="007B408B"/>
    <w:rsid w:val="007B491F"/>
    <w:rsid w:val="007B5161"/>
    <w:rsid w:val="007B56DB"/>
    <w:rsid w:val="007B6A6B"/>
    <w:rsid w:val="007C063D"/>
    <w:rsid w:val="007C080D"/>
    <w:rsid w:val="007C151E"/>
    <w:rsid w:val="007C1C8E"/>
    <w:rsid w:val="007C225A"/>
    <w:rsid w:val="007C2469"/>
    <w:rsid w:val="007C2CD2"/>
    <w:rsid w:val="007C3F94"/>
    <w:rsid w:val="007C57DB"/>
    <w:rsid w:val="007C66E5"/>
    <w:rsid w:val="007C6B96"/>
    <w:rsid w:val="007D0387"/>
    <w:rsid w:val="007D1263"/>
    <w:rsid w:val="007D147D"/>
    <w:rsid w:val="007D1B62"/>
    <w:rsid w:val="007D20BE"/>
    <w:rsid w:val="007D2ECB"/>
    <w:rsid w:val="007D2FF4"/>
    <w:rsid w:val="007D5244"/>
    <w:rsid w:val="007D5372"/>
    <w:rsid w:val="007D5A7A"/>
    <w:rsid w:val="007D618D"/>
    <w:rsid w:val="007D6295"/>
    <w:rsid w:val="007D743D"/>
    <w:rsid w:val="007E1487"/>
    <w:rsid w:val="007E1D53"/>
    <w:rsid w:val="007E1EF4"/>
    <w:rsid w:val="007E2A58"/>
    <w:rsid w:val="007E41DB"/>
    <w:rsid w:val="007E4CC1"/>
    <w:rsid w:val="007E5EF4"/>
    <w:rsid w:val="007E60D8"/>
    <w:rsid w:val="007E644F"/>
    <w:rsid w:val="007E78B7"/>
    <w:rsid w:val="007E7ECF"/>
    <w:rsid w:val="007F067F"/>
    <w:rsid w:val="007F0DC3"/>
    <w:rsid w:val="007F0F05"/>
    <w:rsid w:val="007F13B4"/>
    <w:rsid w:val="007F1736"/>
    <w:rsid w:val="007F17A9"/>
    <w:rsid w:val="007F18C1"/>
    <w:rsid w:val="007F2F68"/>
    <w:rsid w:val="007F434A"/>
    <w:rsid w:val="007F4617"/>
    <w:rsid w:val="007F5E1D"/>
    <w:rsid w:val="007F62E4"/>
    <w:rsid w:val="007F7B76"/>
    <w:rsid w:val="008003AB"/>
    <w:rsid w:val="00800D9A"/>
    <w:rsid w:val="008019FC"/>
    <w:rsid w:val="00801BD0"/>
    <w:rsid w:val="00802E77"/>
    <w:rsid w:val="00803296"/>
    <w:rsid w:val="00803978"/>
    <w:rsid w:val="00803D2E"/>
    <w:rsid w:val="0080488A"/>
    <w:rsid w:val="00804BDC"/>
    <w:rsid w:val="00805826"/>
    <w:rsid w:val="00806547"/>
    <w:rsid w:val="00807320"/>
    <w:rsid w:val="00807E11"/>
    <w:rsid w:val="0081015D"/>
    <w:rsid w:val="00810E2F"/>
    <w:rsid w:val="0081297C"/>
    <w:rsid w:val="00813A5F"/>
    <w:rsid w:val="00814881"/>
    <w:rsid w:val="00815D3D"/>
    <w:rsid w:val="00815FCF"/>
    <w:rsid w:val="008174C8"/>
    <w:rsid w:val="008179E0"/>
    <w:rsid w:val="00820855"/>
    <w:rsid w:val="008224D3"/>
    <w:rsid w:val="00822D0B"/>
    <w:rsid w:val="00823840"/>
    <w:rsid w:val="00824B58"/>
    <w:rsid w:val="00825FAD"/>
    <w:rsid w:val="008267E9"/>
    <w:rsid w:val="00827B7A"/>
    <w:rsid w:val="008313DE"/>
    <w:rsid w:val="00831E78"/>
    <w:rsid w:val="0083207B"/>
    <w:rsid w:val="008320AE"/>
    <w:rsid w:val="00832CE4"/>
    <w:rsid w:val="00833AA1"/>
    <w:rsid w:val="00833F02"/>
    <w:rsid w:val="0083430E"/>
    <w:rsid w:val="0083436B"/>
    <w:rsid w:val="008352B2"/>
    <w:rsid w:val="00835A56"/>
    <w:rsid w:val="00835E8C"/>
    <w:rsid w:val="00835EE9"/>
    <w:rsid w:val="00837743"/>
    <w:rsid w:val="00837A3D"/>
    <w:rsid w:val="008401F2"/>
    <w:rsid w:val="00841E1E"/>
    <w:rsid w:val="008427A7"/>
    <w:rsid w:val="00843127"/>
    <w:rsid w:val="00843995"/>
    <w:rsid w:val="00844016"/>
    <w:rsid w:val="0084520A"/>
    <w:rsid w:val="00845A40"/>
    <w:rsid w:val="00845EE0"/>
    <w:rsid w:val="008465AC"/>
    <w:rsid w:val="008474DD"/>
    <w:rsid w:val="00847808"/>
    <w:rsid w:val="00851480"/>
    <w:rsid w:val="008524A6"/>
    <w:rsid w:val="00853700"/>
    <w:rsid w:val="00853DCC"/>
    <w:rsid w:val="00854942"/>
    <w:rsid w:val="00854B01"/>
    <w:rsid w:val="00855EE3"/>
    <w:rsid w:val="00856D44"/>
    <w:rsid w:val="008572AD"/>
    <w:rsid w:val="0086004C"/>
    <w:rsid w:val="008608E0"/>
    <w:rsid w:val="008631BB"/>
    <w:rsid w:val="008635CF"/>
    <w:rsid w:val="00863FE3"/>
    <w:rsid w:val="00865B30"/>
    <w:rsid w:val="0087155C"/>
    <w:rsid w:val="008723FA"/>
    <w:rsid w:val="008733AD"/>
    <w:rsid w:val="0087382F"/>
    <w:rsid w:val="00873B65"/>
    <w:rsid w:val="00874636"/>
    <w:rsid w:val="00874D1D"/>
    <w:rsid w:val="00875129"/>
    <w:rsid w:val="008758D6"/>
    <w:rsid w:val="00875D0B"/>
    <w:rsid w:val="00877101"/>
    <w:rsid w:val="00877831"/>
    <w:rsid w:val="00880272"/>
    <w:rsid w:val="0088083E"/>
    <w:rsid w:val="00880B93"/>
    <w:rsid w:val="00880F0E"/>
    <w:rsid w:val="00881FAB"/>
    <w:rsid w:val="0088229F"/>
    <w:rsid w:val="0088233C"/>
    <w:rsid w:val="00882FBC"/>
    <w:rsid w:val="00883A83"/>
    <w:rsid w:val="00883C81"/>
    <w:rsid w:val="00883EC6"/>
    <w:rsid w:val="0088420C"/>
    <w:rsid w:val="00884503"/>
    <w:rsid w:val="00885D33"/>
    <w:rsid w:val="0088666B"/>
    <w:rsid w:val="00886943"/>
    <w:rsid w:val="00886F5C"/>
    <w:rsid w:val="00886FFB"/>
    <w:rsid w:val="0088783B"/>
    <w:rsid w:val="00887C7B"/>
    <w:rsid w:val="008904A3"/>
    <w:rsid w:val="0089055C"/>
    <w:rsid w:val="00890D72"/>
    <w:rsid w:val="00891949"/>
    <w:rsid w:val="008922B8"/>
    <w:rsid w:val="00892C83"/>
    <w:rsid w:val="00892CE1"/>
    <w:rsid w:val="00893391"/>
    <w:rsid w:val="00893CAC"/>
    <w:rsid w:val="008940DC"/>
    <w:rsid w:val="008968C3"/>
    <w:rsid w:val="00896900"/>
    <w:rsid w:val="008A079D"/>
    <w:rsid w:val="008A1CC2"/>
    <w:rsid w:val="008A2E5F"/>
    <w:rsid w:val="008A3F40"/>
    <w:rsid w:val="008A4540"/>
    <w:rsid w:val="008A505F"/>
    <w:rsid w:val="008A57BF"/>
    <w:rsid w:val="008A65D6"/>
    <w:rsid w:val="008A6ED2"/>
    <w:rsid w:val="008A79F7"/>
    <w:rsid w:val="008B161A"/>
    <w:rsid w:val="008B16E0"/>
    <w:rsid w:val="008B1D9F"/>
    <w:rsid w:val="008B22CB"/>
    <w:rsid w:val="008B285C"/>
    <w:rsid w:val="008B2AD5"/>
    <w:rsid w:val="008B3DD2"/>
    <w:rsid w:val="008B4341"/>
    <w:rsid w:val="008B446D"/>
    <w:rsid w:val="008B6A24"/>
    <w:rsid w:val="008B7535"/>
    <w:rsid w:val="008B7707"/>
    <w:rsid w:val="008B7C92"/>
    <w:rsid w:val="008C0064"/>
    <w:rsid w:val="008C02CE"/>
    <w:rsid w:val="008C0443"/>
    <w:rsid w:val="008C0D01"/>
    <w:rsid w:val="008C0E6F"/>
    <w:rsid w:val="008C11A5"/>
    <w:rsid w:val="008C1367"/>
    <w:rsid w:val="008C189B"/>
    <w:rsid w:val="008C2DE6"/>
    <w:rsid w:val="008C4946"/>
    <w:rsid w:val="008C5FB6"/>
    <w:rsid w:val="008C6472"/>
    <w:rsid w:val="008C7119"/>
    <w:rsid w:val="008C725E"/>
    <w:rsid w:val="008C765E"/>
    <w:rsid w:val="008C7A1C"/>
    <w:rsid w:val="008D0033"/>
    <w:rsid w:val="008D02D6"/>
    <w:rsid w:val="008D09BD"/>
    <w:rsid w:val="008D0A7B"/>
    <w:rsid w:val="008D0DD5"/>
    <w:rsid w:val="008D11CA"/>
    <w:rsid w:val="008D19BD"/>
    <w:rsid w:val="008D1E4C"/>
    <w:rsid w:val="008D282F"/>
    <w:rsid w:val="008D2D91"/>
    <w:rsid w:val="008D33AB"/>
    <w:rsid w:val="008D47E4"/>
    <w:rsid w:val="008D5129"/>
    <w:rsid w:val="008D5E47"/>
    <w:rsid w:val="008D60EE"/>
    <w:rsid w:val="008D7AE0"/>
    <w:rsid w:val="008D7B37"/>
    <w:rsid w:val="008D7B51"/>
    <w:rsid w:val="008E33E8"/>
    <w:rsid w:val="008E5486"/>
    <w:rsid w:val="008E58AA"/>
    <w:rsid w:val="008E690A"/>
    <w:rsid w:val="008E6D84"/>
    <w:rsid w:val="008E6EBB"/>
    <w:rsid w:val="008E7588"/>
    <w:rsid w:val="008E7610"/>
    <w:rsid w:val="008E7673"/>
    <w:rsid w:val="008F0F18"/>
    <w:rsid w:val="008F1AE6"/>
    <w:rsid w:val="008F2081"/>
    <w:rsid w:val="008F21CE"/>
    <w:rsid w:val="008F3521"/>
    <w:rsid w:val="008F3A2A"/>
    <w:rsid w:val="008F55EC"/>
    <w:rsid w:val="008F603F"/>
    <w:rsid w:val="008F616C"/>
    <w:rsid w:val="008F6426"/>
    <w:rsid w:val="008F7A07"/>
    <w:rsid w:val="008F7B9A"/>
    <w:rsid w:val="00900B5C"/>
    <w:rsid w:val="00900E33"/>
    <w:rsid w:val="009012D4"/>
    <w:rsid w:val="00901C21"/>
    <w:rsid w:val="009022CB"/>
    <w:rsid w:val="009029DF"/>
    <w:rsid w:val="00903B9A"/>
    <w:rsid w:val="00903D48"/>
    <w:rsid w:val="009043E2"/>
    <w:rsid w:val="009050EC"/>
    <w:rsid w:val="00905637"/>
    <w:rsid w:val="00905741"/>
    <w:rsid w:val="0090588F"/>
    <w:rsid w:val="00906395"/>
    <w:rsid w:val="009120B1"/>
    <w:rsid w:val="00912A76"/>
    <w:rsid w:val="00912E39"/>
    <w:rsid w:val="00913F45"/>
    <w:rsid w:val="0091413B"/>
    <w:rsid w:val="009148D8"/>
    <w:rsid w:val="009154B0"/>
    <w:rsid w:val="00915E99"/>
    <w:rsid w:val="009174DC"/>
    <w:rsid w:val="009177A6"/>
    <w:rsid w:val="00920193"/>
    <w:rsid w:val="00920754"/>
    <w:rsid w:val="00920E6C"/>
    <w:rsid w:val="009213AE"/>
    <w:rsid w:val="0092175B"/>
    <w:rsid w:val="00922B49"/>
    <w:rsid w:val="00922FD5"/>
    <w:rsid w:val="00923257"/>
    <w:rsid w:val="009240BD"/>
    <w:rsid w:val="00924635"/>
    <w:rsid w:val="009254D5"/>
    <w:rsid w:val="00925A24"/>
    <w:rsid w:val="0092612C"/>
    <w:rsid w:val="009318EE"/>
    <w:rsid w:val="009333F7"/>
    <w:rsid w:val="009339B1"/>
    <w:rsid w:val="00936CD0"/>
    <w:rsid w:val="00937471"/>
    <w:rsid w:val="0093782E"/>
    <w:rsid w:val="00937A83"/>
    <w:rsid w:val="00937B2B"/>
    <w:rsid w:val="009401ED"/>
    <w:rsid w:val="00941AA7"/>
    <w:rsid w:val="009420C7"/>
    <w:rsid w:val="00942956"/>
    <w:rsid w:val="009434E7"/>
    <w:rsid w:val="009441C6"/>
    <w:rsid w:val="009444A2"/>
    <w:rsid w:val="009454ED"/>
    <w:rsid w:val="00946FAA"/>
    <w:rsid w:val="0094719C"/>
    <w:rsid w:val="00947414"/>
    <w:rsid w:val="009478F7"/>
    <w:rsid w:val="00950088"/>
    <w:rsid w:val="0095024F"/>
    <w:rsid w:val="00950966"/>
    <w:rsid w:val="009511D8"/>
    <w:rsid w:val="00951355"/>
    <w:rsid w:val="00952157"/>
    <w:rsid w:val="00952EA0"/>
    <w:rsid w:val="009540B1"/>
    <w:rsid w:val="00954211"/>
    <w:rsid w:val="00954DDE"/>
    <w:rsid w:val="00956712"/>
    <w:rsid w:val="00956C34"/>
    <w:rsid w:val="00956EFB"/>
    <w:rsid w:val="00956F5B"/>
    <w:rsid w:val="00960628"/>
    <w:rsid w:val="009632FC"/>
    <w:rsid w:val="00963700"/>
    <w:rsid w:val="00963A42"/>
    <w:rsid w:val="00963B56"/>
    <w:rsid w:val="00964867"/>
    <w:rsid w:val="00964DB0"/>
    <w:rsid w:val="00964F78"/>
    <w:rsid w:val="00966D2A"/>
    <w:rsid w:val="0096703B"/>
    <w:rsid w:val="00970DC3"/>
    <w:rsid w:val="00972498"/>
    <w:rsid w:val="0097250E"/>
    <w:rsid w:val="009728F2"/>
    <w:rsid w:val="00973F88"/>
    <w:rsid w:val="00973FA3"/>
    <w:rsid w:val="00973FDD"/>
    <w:rsid w:val="009747D8"/>
    <w:rsid w:val="00974B06"/>
    <w:rsid w:val="00974B63"/>
    <w:rsid w:val="009750FD"/>
    <w:rsid w:val="0097570C"/>
    <w:rsid w:val="00975B34"/>
    <w:rsid w:val="009766F6"/>
    <w:rsid w:val="00976F25"/>
    <w:rsid w:val="009771BC"/>
    <w:rsid w:val="00977378"/>
    <w:rsid w:val="00977483"/>
    <w:rsid w:val="00977677"/>
    <w:rsid w:val="00977958"/>
    <w:rsid w:val="009801FB"/>
    <w:rsid w:val="0098027C"/>
    <w:rsid w:val="00980589"/>
    <w:rsid w:val="00981224"/>
    <w:rsid w:val="00981601"/>
    <w:rsid w:val="00981C2A"/>
    <w:rsid w:val="009820AC"/>
    <w:rsid w:val="00982A02"/>
    <w:rsid w:val="00982CD9"/>
    <w:rsid w:val="00984A2A"/>
    <w:rsid w:val="009851E8"/>
    <w:rsid w:val="0098566A"/>
    <w:rsid w:val="00986707"/>
    <w:rsid w:val="009869AF"/>
    <w:rsid w:val="00986CCE"/>
    <w:rsid w:val="009870BD"/>
    <w:rsid w:val="0098769D"/>
    <w:rsid w:val="0098789E"/>
    <w:rsid w:val="00990C56"/>
    <w:rsid w:val="00991CB0"/>
    <w:rsid w:val="00991D5E"/>
    <w:rsid w:val="00991FAA"/>
    <w:rsid w:val="009921E7"/>
    <w:rsid w:val="0099410E"/>
    <w:rsid w:val="00994815"/>
    <w:rsid w:val="00995D05"/>
    <w:rsid w:val="00996015"/>
    <w:rsid w:val="00996C9F"/>
    <w:rsid w:val="00996EAE"/>
    <w:rsid w:val="00997829"/>
    <w:rsid w:val="009A00CE"/>
    <w:rsid w:val="009A0BA1"/>
    <w:rsid w:val="009A2FD6"/>
    <w:rsid w:val="009A34BA"/>
    <w:rsid w:val="009A4413"/>
    <w:rsid w:val="009A4B4A"/>
    <w:rsid w:val="009A5581"/>
    <w:rsid w:val="009A5BB4"/>
    <w:rsid w:val="009A5C84"/>
    <w:rsid w:val="009A64F1"/>
    <w:rsid w:val="009A6E2E"/>
    <w:rsid w:val="009A701A"/>
    <w:rsid w:val="009A75B7"/>
    <w:rsid w:val="009A7B51"/>
    <w:rsid w:val="009B1516"/>
    <w:rsid w:val="009B1574"/>
    <w:rsid w:val="009B2610"/>
    <w:rsid w:val="009B2902"/>
    <w:rsid w:val="009B3C26"/>
    <w:rsid w:val="009B3D34"/>
    <w:rsid w:val="009B4A4C"/>
    <w:rsid w:val="009B4C0E"/>
    <w:rsid w:val="009B5461"/>
    <w:rsid w:val="009B5C86"/>
    <w:rsid w:val="009B7145"/>
    <w:rsid w:val="009B77E9"/>
    <w:rsid w:val="009B79A0"/>
    <w:rsid w:val="009B7DD9"/>
    <w:rsid w:val="009C109C"/>
    <w:rsid w:val="009C1B0D"/>
    <w:rsid w:val="009C2CDD"/>
    <w:rsid w:val="009C3D7E"/>
    <w:rsid w:val="009C4535"/>
    <w:rsid w:val="009C473A"/>
    <w:rsid w:val="009C5706"/>
    <w:rsid w:val="009C5FA4"/>
    <w:rsid w:val="009C611A"/>
    <w:rsid w:val="009C6D72"/>
    <w:rsid w:val="009C7CA7"/>
    <w:rsid w:val="009D064C"/>
    <w:rsid w:val="009D08D5"/>
    <w:rsid w:val="009D1796"/>
    <w:rsid w:val="009D1F77"/>
    <w:rsid w:val="009D20B8"/>
    <w:rsid w:val="009D3762"/>
    <w:rsid w:val="009D38BD"/>
    <w:rsid w:val="009D41DB"/>
    <w:rsid w:val="009D58E5"/>
    <w:rsid w:val="009D5FDA"/>
    <w:rsid w:val="009D68E6"/>
    <w:rsid w:val="009D691A"/>
    <w:rsid w:val="009D7F6B"/>
    <w:rsid w:val="009E01FA"/>
    <w:rsid w:val="009E0CC3"/>
    <w:rsid w:val="009E12A5"/>
    <w:rsid w:val="009E1FB7"/>
    <w:rsid w:val="009E2078"/>
    <w:rsid w:val="009E4689"/>
    <w:rsid w:val="009E47AA"/>
    <w:rsid w:val="009E4A23"/>
    <w:rsid w:val="009E4D1C"/>
    <w:rsid w:val="009E5B96"/>
    <w:rsid w:val="009E6C2F"/>
    <w:rsid w:val="009E77AF"/>
    <w:rsid w:val="009E78F4"/>
    <w:rsid w:val="009E79E3"/>
    <w:rsid w:val="009E7CE7"/>
    <w:rsid w:val="009F0C76"/>
    <w:rsid w:val="009F0D07"/>
    <w:rsid w:val="009F121A"/>
    <w:rsid w:val="009F152F"/>
    <w:rsid w:val="009F28F1"/>
    <w:rsid w:val="009F3858"/>
    <w:rsid w:val="009F4236"/>
    <w:rsid w:val="009F5F20"/>
    <w:rsid w:val="009F65C9"/>
    <w:rsid w:val="00A00BC6"/>
    <w:rsid w:val="00A012E8"/>
    <w:rsid w:val="00A01423"/>
    <w:rsid w:val="00A01489"/>
    <w:rsid w:val="00A01A37"/>
    <w:rsid w:val="00A0228B"/>
    <w:rsid w:val="00A02AF8"/>
    <w:rsid w:val="00A03FB5"/>
    <w:rsid w:val="00A04284"/>
    <w:rsid w:val="00A054D7"/>
    <w:rsid w:val="00A0733E"/>
    <w:rsid w:val="00A07DC9"/>
    <w:rsid w:val="00A1021C"/>
    <w:rsid w:val="00A1070A"/>
    <w:rsid w:val="00A11DC6"/>
    <w:rsid w:val="00A11F93"/>
    <w:rsid w:val="00A1213A"/>
    <w:rsid w:val="00A121E9"/>
    <w:rsid w:val="00A122F2"/>
    <w:rsid w:val="00A1301C"/>
    <w:rsid w:val="00A135EA"/>
    <w:rsid w:val="00A13A16"/>
    <w:rsid w:val="00A14320"/>
    <w:rsid w:val="00A14602"/>
    <w:rsid w:val="00A155B3"/>
    <w:rsid w:val="00A15615"/>
    <w:rsid w:val="00A15940"/>
    <w:rsid w:val="00A16856"/>
    <w:rsid w:val="00A1733A"/>
    <w:rsid w:val="00A1753F"/>
    <w:rsid w:val="00A17BA9"/>
    <w:rsid w:val="00A17C68"/>
    <w:rsid w:val="00A23065"/>
    <w:rsid w:val="00A237D3"/>
    <w:rsid w:val="00A237EB"/>
    <w:rsid w:val="00A23919"/>
    <w:rsid w:val="00A24993"/>
    <w:rsid w:val="00A24B79"/>
    <w:rsid w:val="00A25391"/>
    <w:rsid w:val="00A256A0"/>
    <w:rsid w:val="00A256F0"/>
    <w:rsid w:val="00A26E62"/>
    <w:rsid w:val="00A30325"/>
    <w:rsid w:val="00A304A0"/>
    <w:rsid w:val="00A30EAD"/>
    <w:rsid w:val="00A31CDE"/>
    <w:rsid w:val="00A32031"/>
    <w:rsid w:val="00A324F0"/>
    <w:rsid w:val="00A326F8"/>
    <w:rsid w:val="00A3271F"/>
    <w:rsid w:val="00A32E38"/>
    <w:rsid w:val="00A32EC9"/>
    <w:rsid w:val="00A3315F"/>
    <w:rsid w:val="00A33511"/>
    <w:rsid w:val="00A33DDB"/>
    <w:rsid w:val="00A34E2C"/>
    <w:rsid w:val="00A3542B"/>
    <w:rsid w:val="00A36425"/>
    <w:rsid w:val="00A36958"/>
    <w:rsid w:val="00A36B72"/>
    <w:rsid w:val="00A37748"/>
    <w:rsid w:val="00A37D93"/>
    <w:rsid w:val="00A40C72"/>
    <w:rsid w:val="00A40F0D"/>
    <w:rsid w:val="00A411E4"/>
    <w:rsid w:val="00A4183C"/>
    <w:rsid w:val="00A419A6"/>
    <w:rsid w:val="00A422E9"/>
    <w:rsid w:val="00A43184"/>
    <w:rsid w:val="00A4377E"/>
    <w:rsid w:val="00A43941"/>
    <w:rsid w:val="00A43F09"/>
    <w:rsid w:val="00A44972"/>
    <w:rsid w:val="00A45A1C"/>
    <w:rsid w:val="00A45EBC"/>
    <w:rsid w:val="00A46BCB"/>
    <w:rsid w:val="00A47456"/>
    <w:rsid w:val="00A4758F"/>
    <w:rsid w:val="00A4764B"/>
    <w:rsid w:val="00A50C2A"/>
    <w:rsid w:val="00A51CB2"/>
    <w:rsid w:val="00A5202A"/>
    <w:rsid w:val="00A52134"/>
    <w:rsid w:val="00A52435"/>
    <w:rsid w:val="00A52897"/>
    <w:rsid w:val="00A529BF"/>
    <w:rsid w:val="00A54051"/>
    <w:rsid w:val="00A5409B"/>
    <w:rsid w:val="00A543D4"/>
    <w:rsid w:val="00A544DE"/>
    <w:rsid w:val="00A54C1D"/>
    <w:rsid w:val="00A55EF5"/>
    <w:rsid w:val="00A56D04"/>
    <w:rsid w:val="00A57352"/>
    <w:rsid w:val="00A5792A"/>
    <w:rsid w:val="00A60470"/>
    <w:rsid w:val="00A60C2B"/>
    <w:rsid w:val="00A60F78"/>
    <w:rsid w:val="00A61C81"/>
    <w:rsid w:val="00A62533"/>
    <w:rsid w:val="00A63226"/>
    <w:rsid w:val="00A633AA"/>
    <w:rsid w:val="00A63864"/>
    <w:rsid w:val="00A642C7"/>
    <w:rsid w:val="00A66809"/>
    <w:rsid w:val="00A6722E"/>
    <w:rsid w:val="00A67D72"/>
    <w:rsid w:val="00A7078A"/>
    <w:rsid w:val="00A7084F"/>
    <w:rsid w:val="00A71DC3"/>
    <w:rsid w:val="00A7268B"/>
    <w:rsid w:val="00A72A61"/>
    <w:rsid w:val="00A73BD1"/>
    <w:rsid w:val="00A7415A"/>
    <w:rsid w:val="00A741AB"/>
    <w:rsid w:val="00A744D8"/>
    <w:rsid w:val="00A74C86"/>
    <w:rsid w:val="00A75382"/>
    <w:rsid w:val="00A76198"/>
    <w:rsid w:val="00A7781F"/>
    <w:rsid w:val="00A806CB"/>
    <w:rsid w:val="00A81AD8"/>
    <w:rsid w:val="00A824AA"/>
    <w:rsid w:val="00A825D4"/>
    <w:rsid w:val="00A82EA0"/>
    <w:rsid w:val="00A83CD2"/>
    <w:rsid w:val="00A83FA0"/>
    <w:rsid w:val="00A847D3"/>
    <w:rsid w:val="00A86C47"/>
    <w:rsid w:val="00A86FD4"/>
    <w:rsid w:val="00A911F8"/>
    <w:rsid w:val="00A9265E"/>
    <w:rsid w:val="00A92AB3"/>
    <w:rsid w:val="00A932FA"/>
    <w:rsid w:val="00A9333C"/>
    <w:rsid w:val="00A93813"/>
    <w:rsid w:val="00A9430E"/>
    <w:rsid w:val="00AA0B41"/>
    <w:rsid w:val="00AA1691"/>
    <w:rsid w:val="00AA2473"/>
    <w:rsid w:val="00AA2656"/>
    <w:rsid w:val="00AA28CA"/>
    <w:rsid w:val="00AA2BB4"/>
    <w:rsid w:val="00AA2DB6"/>
    <w:rsid w:val="00AA4AAD"/>
    <w:rsid w:val="00AA765A"/>
    <w:rsid w:val="00AA769E"/>
    <w:rsid w:val="00AA7A06"/>
    <w:rsid w:val="00AB0308"/>
    <w:rsid w:val="00AB1EDC"/>
    <w:rsid w:val="00AB3554"/>
    <w:rsid w:val="00AB36F1"/>
    <w:rsid w:val="00AB5596"/>
    <w:rsid w:val="00AB560E"/>
    <w:rsid w:val="00AB59B4"/>
    <w:rsid w:val="00AB5ADC"/>
    <w:rsid w:val="00AB5C3E"/>
    <w:rsid w:val="00AB6DEB"/>
    <w:rsid w:val="00AB6EBF"/>
    <w:rsid w:val="00AB6FCE"/>
    <w:rsid w:val="00AB744C"/>
    <w:rsid w:val="00AC0417"/>
    <w:rsid w:val="00AC0EE7"/>
    <w:rsid w:val="00AC19DF"/>
    <w:rsid w:val="00AC1EBA"/>
    <w:rsid w:val="00AC2F62"/>
    <w:rsid w:val="00AC406F"/>
    <w:rsid w:val="00AC43AB"/>
    <w:rsid w:val="00AC55C1"/>
    <w:rsid w:val="00AC5BD8"/>
    <w:rsid w:val="00AC60E2"/>
    <w:rsid w:val="00AC6530"/>
    <w:rsid w:val="00AC6BC3"/>
    <w:rsid w:val="00AC7886"/>
    <w:rsid w:val="00AC7F2F"/>
    <w:rsid w:val="00AD002D"/>
    <w:rsid w:val="00AD0724"/>
    <w:rsid w:val="00AD0AFC"/>
    <w:rsid w:val="00AD1515"/>
    <w:rsid w:val="00AD1EF7"/>
    <w:rsid w:val="00AD2FB8"/>
    <w:rsid w:val="00AD3092"/>
    <w:rsid w:val="00AD3A31"/>
    <w:rsid w:val="00AD3E1D"/>
    <w:rsid w:val="00AD408A"/>
    <w:rsid w:val="00AD448F"/>
    <w:rsid w:val="00AD562A"/>
    <w:rsid w:val="00AD577A"/>
    <w:rsid w:val="00AD5EA0"/>
    <w:rsid w:val="00AD63A6"/>
    <w:rsid w:val="00AD6A35"/>
    <w:rsid w:val="00AD6D65"/>
    <w:rsid w:val="00AE0A91"/>
    <w:rsid w:val="00AE0D87"/>
    <w:rsid w:val="00AE11A7"/>
    <w:rsid w:val="00AE2D60"/>
    <w:rsid w:val="00AE4020"/>
    <w:rsid w:val="00AE48D3"/>
    <w:rsid w:val="00AE562E"/>
    <w:rsid w:val="00AE7A77"/>
    <w:rsid w:val="00AF0653"/>
    <w:rsid w:val="00AF0678"/>
    <w:rsid w:val="00AF0CA6"/>
    <w:rsid w:val="00AF2369"/>
    <w:rsid w:val="00AF2B8B"/>
    <w:rsid w:val="00AF2E5A"/>
    <w:rsid w:val="00AF3C0A"/>
    <w:rsid w:val="00AF3F28"/>
    <w:rsid w:val="00AF4AA3"/>
    <w:rsid w:val="00AF4DB2"/>
    <w:rsid w:val="00AF5632"/>
    <w:rsid w:val="00AF5709"/>
    <w:rsid w:val="00AF5819"/>
    <w:rsid w:val="00AF60C2"/>
    <w:rsid w:val="00B0048A"/>
    <w:rsid w:val="00B00596"/>
    <w:rsid w:val="00B02866"/>
    <w:rsid w:val="00B030D9"/>
    <w:rsid w:val="00B03711"/>
    <w:rsid w:val="00B03E1D"/>
    <w:rsid w:val="00B03F1E"/>
    <w:rsid w:val="00B0468E"/>
    <w:rsid w:val="00B05044"/>
    <w:rsid w:val="00B05B81"/>
    <w:rsid w:val="00B06489"/>
    <w:rsid w:val="00B06F04"/>
    <w:rsid w:val="00B07398"/>
    <w:rsid w:val="00B113FF"/>
    <w:rsid w:val="00B120E4"/>
    <w:rsid w:val="00B13B09"/>
    <w:rsid w:val="00B15A0A"/>
    <w:rsid w:val="00B168CA"/>
    <w:rsid w:val="00B16A99"/>
    <w:rsid w:val="00B17112"/>
    <w:rsid w:val="00B1784F"/>
    <w:rsid w:val="00B17951"/>
    <w:rsid w:val="00B209F7"/>
    <w:rsid w:val="00B20FC8"/>
    <w:rsid w:val="00B21329"/>
    <w:rsid w:val="00B214A4"/>
    <w:rsid w:val="00B21890"/>
    <w:rsid w:val="00B21F56"/>
    <w:rsid w:val="00B22873"/>
    <w:rsid w:val="00B22BA1"/>
    <w:rsid w:val="00B26AD6"/>
    <w:rsid w:val="00B30AC2"/>
    <w:rsid w:val="00B30E86"/>
    <w:rsid w:val="00B30EAB"/>
    <w:rsid w:val="00B31590"/>
    <w:rsid w:val="00B32476"/>
    <w:rsid w:val="00B3361F"/>
    <w:rsid w:val="00B33638"/>
    <w:rsid w:val="00B343FA"/>
    <w:rsid w:val="00B350A5"/>
    <w:rsid w:val="00B35EA3"/>
    <w:rsid w:val="00B36211"/>
    <w:rsid w:val="00B37D02"/>
    <w:rsid w:val="00B412C2"/>
    <w:rsid w:val="00B41D67"/>
    <w:rsid w:val="00B43512"/>
    <w:rsid w:val="00B4485A"/>
    <w:rsid w:val="00B452C5"/>
    <w:rsid w:val="00B45465"/>
    <w:rsid w:val="00B45700"/>
    <w:rsid w:val="00B458A3"/>
    <w:rsid w:val="00B45CC2"/>
    <w:rsid w:val="00B467F3"/>
    <w:rsid w:val="00B46DCA"/>
    <w:rsid w:val="00B47A14"/>
    <w:rsid w:val="00B47B93"/>
    <w:rsid w:val="00B50490"/>
    <w:rsid w:val="00B518DA"/>
    <w:rsid w:val="00B518FC"/>
    <w:rsid w:val="00B54840"/>
    <w:rsid w:val="00B55EE7"/>
    <w:rsid w:val="00B567C0"/>
    <w:rsid w:val="00B56AF0"/>
    <w:rsid w:val="00B56C9D"/>
    <w:rsid w:val="00B5716D"/>
    <w:rsid w:val="00B608B9"/>
    <w:rsid w:val="00B6224E"/>
    <w:rsid w:val="00B6260C"/>
    <w:rsid w:val="00B63369"/>
    <w:rsid w:val="00B639AF"/>
    <w:rsid w:val="00B65077"/>
    <w:rsid w:val="00B6508C"/>
    <w:rsid w:val="00B66494"/>
    <w:rsid w:val="00B66EFD"/>
    <w:rsid w:val="00B674A5"/>
    <w:rsid w:val="00B67ABA"/>
    <w:rsid w:val="00B707A4"/>
    <w:rsid w:val="00B71E50"/>
    <w:rsid w:val="00B74189"/>
    <w:rsid w:val="00B744A0"/>
    <w:rsid w:val="00B74A2C"/>
    <w:rsid w:val="00B74E61"/>
    <w:rsid w:val="00B751D8"/>
    <w:rsid w:val="00B75DFF"/>
    <w:rsid w:val="00B76297"/>
    <w:rsid w:val="00B7666C"/>
    <w:rsid w:val="00B76DFA"/>
    <w:rsid w:val="00B8009F"/>
    <w:rsid w:val="00B801FA"/>
    <w:rsid w:val="00B802D0"/>
    <w:rsid w:val="00B8038E"/>
    <w:rsid w:val="00B80960"/>
    <w:rsid w:val="00B82415"/>
    <w:rsid w:val="00B8247E"/>
    <w:rsid w:val="00B824CA"/>
    <w:rsid w:val="00B82597"/>
    <w:rsid w:val="00B82813"/>
    <w:rsid w:val="00B83241"/>
    <w:rsid w:val="00B833F1"/>
    <w:rsid w:val="00B839BB"/>
    <w:rsid w:val="00B8482E"/>
    <w:rsid w:val="00B84A9F"/>
    <w:rsid w:val="00B84AC2"/>
    <w:rsid w:val="00B84B13"/>
    <w:rsid w:val="00B84D94"/>
    <w:rsid w:val="00B84EB1"/>
    <w:rsid w:val="00B8642D"/>
    <w:rsid w:val="00B869B3"/>
    <w:rsid w:val="00B90899"/>
    <w:rsid w:val="00B94582"/>
    <w:rsid w:val="00B947FA"/>
    <w:rsid w:val="00B94F17"/>
    <w:rsid w:val="00B952DE"/>
    <w:rsid w:val="00B95FB9"/>
    <w:rsid w:val="00B960CF"/>
    <w:rsid w:val="00B96326"/>
    <w:rsid w:val="00B96B8E"/>
    <w:rsid w:val="00B96D9D"/>
    <w:rsid w:val="00B96DD8"/>
    <w:rsid w:val="00B970BB"/>
    <w:rsid w:val="00B97F38"/>
    <w:rsid w:val="00BA09B8"/>
    <w:rsid w:val="00BA0D35"/>
    <w:rsid w:val="00BA1AD2"/>
    <w:rsid w:val="00BA2BB7"/>
    <w:rsid w:val="00BA2BC7"/>
    <w:rsid w:val="00BA2D28"/>
    <w:rsid w:val="00BA3102"/>
    <w:rsid w:val="00BA3243"/>
    <w:rsid w:val="00BA3FE9"/>
    <w:rsid w:val="00BA45C5"/>
    <w:rsid w:val="00BA6504"/>
    <w:rsid w:val="00BA6B43"/>
    <w:rsid w:val="00BA70B6"/>
    <w:rsid w:val="00BA70CC"/>
    <w:rsid w:val="00BA77B1"/>
    <w:rsid w:val="00BA7C6A"/>
    <w:rsid w:val="00BA7D78"/>
    <w:rsid w:val="00BB146E"/>
    <w:rsid w:val="00BB1574"/>
    <w:rsid w:val="00BB15E2"/>
    <w:rsid w:val="00BB193D"/>
    <w:rsid w:val="00BB1A73"/>
    <w:rsid w:val="00BB39A1"/>
    <w:rsid w:val="00BB3A4E"/>
    <w:rsid w:val="00BB41EC"/>
    <w:rsid w:val="00BB5233"/>
    <w:rsid w:val="00BB6253"/>
    <w:rsid w:val="00BB64FD"/>
    <w:rsid w:val="00BB6B1D"/>
    <w:rsid w:val="00BB6B4D"/>
    <w:rsid w:val="00BB73F3"/>
    <w:rsid w:val="00BC1AC2"/>
    <w:rsid w:val="00BC323C"/>
    <w:rsid w:val="00BC445D"/>
    <w:rsid w:val="00BC475E"/>
    <w:rsid w:val="00BC5CB1"/>
    <w:rsid w:val="00BC63B7"/>
    <w:rsid w:val="00BC7483"/>
    <w:rsid w:val="00BD0C63"/>
    <w:rsid w:val="00BD0F15"/>
    <w:rsid w:val="00BD1EE2"/>
    <w:rsid w:val="00BD1FE6"/>
    <w:rsid w:val="00BD2CCD"/>
    <w:rsid w:val="00BD2F6C"/>
    <w:rsid w:val="00BD391A"/>
    <w:rsid w:val="00BD522F"/>
    <w:rsid w:val="00BD5BFC"/>
    <w:rsid w:val="00BD6077"/>
    <w:rsid w:val="00BD61B0"/>
    <w:rsid w:val="00BD6BF9"/>
    <w:rsid w:val="00BD6DB7"/>
    <w:rsid w:val="00BD7071"/>
    <w:rsid w:val="00BD7543"/>
    <w:rsid w:val="00BD79FF"/>
    <w:rsid w:val="00BE0366"/>
    <w:rsid w:val="00BE1838"/>
    <w:rsid w:val="00BE3726"/>
    <w:rsid w:val="00BE387F"/>
    <w:rsid w:val="00BE3AF9"/>
    <w:rsid w:val="00BE3BF2"/>
    <w:rsid w:val="00BE4873"/>
    <w:rsid w:val="00BE4D4E"/>
    <w:rsid w:val="00BE5BA5"/>
    <w:rsid w:val="00BE5DDD"/>
    <w:rsid w:val="00BE6281"/>
    <w:rsid w:val="00BE6EF1"/>
    <w:rsid w:val="00BE7BD3"/>
    <w:rsid w:val="00BE7E69"/>
    <w:rsid w:val="00BE7EC5"/>
    <w:rsid w:val="00BF02CF"/>
    <w:rsid w:val="00BF0425"/>
    <w:rsid w:val="00BF123A"/>
    <w:rsid w:val="00BF22F9"/>
    <w:rsid w:val="00BF4AA8"/>
    <w:rsid w:val="00BF503C"/>
    <w:rsid w:val="00BF604D"/>
    <w:rsid w:val="00BF6422"/>
    <w:rsid w:val="00BF7AE6"/>
    <w:rsid w:val="00BF7AF4"/>
    <w:rsid w:val="00C002AF"/>
    <w:rsid w:val="00C002E7"/>
    <w:rsid w:val="00C00660"/>
    <w:rsid w:val="00C0097C"/>
    <w:rsid w:val="00C013C1"/>
    <w:rsid w:val="00C0253A"/>
    <w:rsid w:val="00C035B0"/>
    <w:rsid w:val="00C03719"/>
    <w:rsid w:val="00C03743"/>
    <w:rsid w:val="00C03833"/>
    <w:rsid w:val="00C0430F"/>
    <w:rsid w:val="00C0484A"/>
    <w:rsid w:val="00C05495"/>
    <w:rsid w:val="00C05845"/>
    <w:rsid w:val="00C05B7F"/>
    <w:rsid w:val="00C06A09"/>
    <w:rsid w:val="00C07D9E"/>
    <w:rsid w:val="00C10142"/>
    <w:rsid w:val="00C108F3"/>
    <w:rsid w:val="00C11B35"/>
    <w:rsid w:val="00C128C1"/>
    <w:rsid w:val="00C12CA1"/>
    <w:rsid w:val="00C136DE"/>
    <w:rsid w:val="00C15021"/>
    <w:rsid w:val="00C1596C"/>
    <w:rsid w:val="00C1656B"/>
    <w:rsid w:val="00C16810"/>
    <w:rsid w:val="00C16B09"/>
    <w:rsid w:val="00C17998"/>
    <w:rsid w:val="00C17AFC"/>
    <w:rsid w:val="00C20261"/>
    <w:rsid w:val="00C206F4"/>
    <w:rsid w:val="00C208A1"/>
    <w:rsid w:val="00C20EBA"/>
    <w:rsid w:val="00C21132"/>
    <w:rsid w:val="00C219A7"/>
    <w:rsid w:val="00C22642"/>
    <w:rsid w:val="00C22CBC"/>
    <w:rsid w:val="00C24651"/>
    <w:rsid w:val="00C24F7D"/>
    <w:rsid w:val="00C25019"/>
    <w:rsid w:val="00C2526C"/>
    <w:rsid w:val="00C27F16"/>
    <w:rsid w:val="00C313B6"/>
    <w:rsid w:val="00C31E38"/>
    <w:rsid w:val="00C3222A"/>
    <w:rsid w:val="00C32637"/>
    <w:rsid w:val="00C32BEA"/>
    <w:rsid w:val="00C32E6C"/>
    <w:rsid w:val="00C33561"/>
    <w:rsid w:val="00C337C7"/>
    <w:rsid w:val="00C3391E"/>
    <w:rsid w:val="00C353DB"/>
    <w:rsid w:val="00C35A57"/>
    <w:rsid w:val="00C36528"/>
    <w:rsid w:val="00C3718D"/>
    <w:rsid w:val="00C37760"/>
    <w:rsid w:val="00C409BB"/>
    <w:rsid w:val="00C40F28"/>
    <w:rsid w:val="00C41542"/>
    <w:rsid w:val="00C4161A"/>
    <w:rsid w:val="00C416E0"/>
    <w:rsid w:val="00C41D46"/>
    <w:rsid w:val="00C431D3"/>
    <w:rsid w:val="00C46671"/>
    <w:rsid w:val="00C475A7"/>
    <w:rsid w:val="00C47796"/>
    <w:rsid w:val="00C47BE3"/>
    <w:rsid w:val="00C47F5B"/>
    <w:rsid w:val="00C501BB"/>
    <w:rsid w:val="00C5199A"/>
    <w:rsid w:val="00C523EF"/>
    <w:rsid w:val="00C53AE0"/>
    <w:rsid w:val="00C543DC"/>
    <w:rsid w:val="00C54887"/>
    <w:rsid w:val="00C54D6D"/>
    <w:rsid w:val="00C558D3"/>
    <w:rsid w:val="00C559CC"/>
    <w:rsid w:val="00C578EF"/>
    <w:rsid w:val="00C57ACE"/>
    <w:rsid w:val="00C60207"/>
    <w:rsid w:val="00C606CC"/>
    <w:rsid w:val="00C60A87"/>
    <w:rsid w:val="00C618CE"/>
    <w:rsid w:val="00C62402"/>
    <w:rsid w:val="00C6277C"/>
    <w:rsid w:val="00C62B41"/>
    <w:rsid w:val="00C631C0"/>
    <w:rsid w:val="00C634B5"/>
    <w:rsid w:val="00C63A22"/>
    <w:rsid w:val="00C63F4D"/>
    <w:rsid w:val="00C6469D"/>
    <w:rsid w:val="00C65276"/>
    <w:rsid w:val="00C659D0"/>
    <w:rsid w:val="00C65BD1"/>
    <w:rsid w:val="00C67DE3"/>
    <w:rsid w:val="00C70493"/>
    <w:rsid w:val="00C72127"/>
    <w:rsid w:val="00C724DE"/>
    <w:rsid w:val="00C72A69"/>
    <w:rsid w:val="00C7364B"/>
    <w:rsid w:val="00C73E16"/>
    <w:rsid w:val="00C74B16"/>
    <w:rsid w:val="00C7539A"/>
    <w:rsid w:val="00C754D1"/>
    <w:rsid w:val="00C756FC"/>
    <w:rsid w:val="00C7658E"/>
    <w:rsid w:val="00C77139"/>
    <w:rsid w:val="00C7739F"/>
    <w:rsid w:val="00C77EE9"/>
    <w:rsid w:val="00C80219"/>
    <w:rsid w:val="00C8092F"/>
    <w:rsid w:val="00C8149E"/>
    <w:rsid w:val="00C84FE5"/>
    <w:rsid w:val="00C8513C"/>
    <w:rsid w:val="00C855F5"/>
    <w:rsid w:val="00C85912"/>
    <w:rsid w:val="00C87043"/>
    <w:rsid w:val="00C876EF"/>
    <w:rsid w:val="00C91333"/>
    <w:rsid w:val="00C927DC"/>
    <w:rsid w:val="00C92DA7"/>
    <w:rsid w:val="00C92FFD"/>
    <w:rsid w:val="00C9308C"/>
    <w:rsid w:val="00C948DB"/>
    <w:rsid w:val="00C9492C"/>
    <w:rsid w:val="00C949C8"/>
    <w:rsid w:val="00C95893"/>
    <w:rsid w:val="00C95A55"/>
    <w:rsid w:val="00C95B54"/>
    <w:rsid w:val="00C95C6F"/>
    <w:rsid w:val="00C95CAB"/>
    <w:rsid w:val="00C9674E"/>
    <w:rsid w:val="00C9688E"/>
    <w:rsid w:val="00C97563"/>
    <w:rsid w:val="00C978D4"/>
    <w:rsid w:val="00CA0915"/>
    <w:rsid w:val="00CA0C90"/>
    <w:rsid w:val="00CA1661"/>
    <w:rsid w:val="00CA1FCE"/>
    <w:rsid w:val="00CA2176"/>
    <w:rsid w:val="00CA31B2"/>
    <w:rsid w:val="00CA467E"/>
    <w:rsid w:val="00CA4E21"/>
    <w:rsid w:val="00CA550B"/>
    <w:rsid w:val="00CA5C50"/>
    <w:rsid w:val="00CA5EC8"/>
    <w:rsid w:val="00CA65A0"/>
    <w:rsid w:val="00CA6795"/>
    <w:rsid w:val="00CA700D"/>
    <w:rsid w:val="00CB16A3"/>
    <w:rsid w:val="00CB1758"/>
    <w:rsid w:val="00CB26BA"/>
    <w:rsid w:val="00CB28F4"/>
    <w:rsid w:val="00CB4B95"/>
    <w:rsid w:val="00CB5056"/>
    <w:rsid w:val="00CB5467"/>
    <w:rsid w:val="00CC0227"/>
    <w:rsid w:val="00CC0EC8"/>
    <w:rsid w:val="00CC1265"/>
    <w:rsid w:val="00CC2A34"/>
    <w:rsid w:val="00CC32A7"/>
    <w:rsid w:val="00CC33F2"/>
    <w:rsid w:val="00CC3524"/>
    <w:rsid w:val="00CC3978"/>
    <w:rsid w:val="00CC3D92"/>
    <w:rsid w:val="00CC4274"/>
    <w:rsid w:val="00CC4A2B"/>
    <w:rsid w:val="00CC4CE1"/>
    <w:rsid w:val="00CC4E5A"/>
    <w:rsid w:val="00CC5E3D"/>
    <w:rsid w:val="00CC65B6"/>
    <w:rsid w:val="00CC694F"/>
    <w:rsid w:val="00CD0861"/>
    <w:rsid w:val="00CD1169"/>
    <w:rsid w:val="00CD2346"/>
    <w:rsid w:val="00CD25E8"/>
    <w:rsid w:val="00CD3413"/>
    <w:rsid w:val="00CD3BF6"/>
    <w:rsid w:val="00CD4B40"/>
    <w:rsid w:val="00CD571E"/>
    <w:rsid w:val="00CD580A"/>
    <w:rsid w:val="00CD5FE2"/>
    <w:rsid w:val="00CD793B"/>
    <w:rsid w:val="00CE09C4"/>
    <w:rsid w:val="00CE1390"/>
    <w:rsid w:val="00CE26CE"/>
    <w:rsid w:val="00CE2D2F"/>
    <w:rsid w:val="00CE387D"/>
    <w:rsid w:val="00CE3E12"/>
    <w:rsid w:val="00CE64BE"/>
    <w:rsid w:val="00CE6A3A"/>
    <w:rsid w:val="00CE6B4B"/>
    <w:rsid w:val="00CE6EF2"/>
    <w:rsid w:val="00CE7225"/>
    <w:rsid w:val="00CE7879"/>
    <w:rsid w:val="00CE7C41"/>
    <w:rsid w:val="00CF1156"/>
    <w:rsid w:val="00CF12A7"/>
    <w:rsid w:val="00CF143A"/>
    <w:rsid w:val="00CF168F"/>
    <w:rsid w:val="00CF1909"/>
    <w:rsid w:val="00CF1E39"/>
    <w:rsid w:val="00CF2231"/>
    <w:rsid w:val="00CF232D"/>
    <w:rsid w:val="00CF2E12"/>
    <w:rsid w:val="00CF5120"/>
    <w:rsid w:val="00CF532E"/>
    <w:rsid w:val="00CF5365"/>
    <w:rsid w:val="00CF62B7"/>
    <w:rsid w:val="00CF6976"/>
    <w:rsid w:val="00CF77B9"/>
    <w:rsid w:val="00CF7D24"/>
    <w:rsid w:val="00D01584"/>
    <w:rsid w:val="00D01D64"/>
    <w:rsid w:val="00D01DBA"/>
    <w:rsid w:val="00D026D1"/>
    <w:rsid w:val="00D02CCC"/>
    <w:rsid w:val="00D0313B"/>
    <w:rsid w:val="00D03776"/>
    <w:rsid w:val="00D0379D"/>
    <w:rsid w:val="00D0386A"/>
    <w:rsid w:val="00D0499D"/>
    <w:rsid w:val="00D059FD"/>
    <w:rsid w:val="00D0635D"/>
    <w:rsid w:val="00D06D91"/>
    <w:rsid w:val="00D06F9A"/>
    <w:rsid w:val="00D075FD"/>
    <w:rsid w:val="00D077EB"/>
    <w:rsid w:val="00D10AB8"/>
    <w:rsid w:val="00D10FA2"/>
    <w:rsid w:val="00D1196A"/>
    <w:rsid w:val="00D13BD2"/>
    <w:rsid w:val="00D14DF3"/>
    <w:rsid w:val="00D157F0"/>
    <w:rsid w:val="00D1586D"/>
    <w:rsid w:val="00D15969"/>
    <w:rsid w:val="00D15FAC"/>
    <w:rsid w:val="00D1701F"/>
    <w:rsid w:val="00D172B9"/>
    <w:rsid w:val="00D2097A"/>
    <w:rsid w:val="00D22323"/>
    <w:rsid w:val="00D22590"/>
    <w:rsid w:val="00D22D46"/>
    <w:rsid w:val="00D23C93"/>
    <w:rsid w:val="00D23FAC"/>
    <w:rsid w:val="00D240B6"/>
    <w:rsid w:val="00D24763"/>
    <w:rsid w:val="00D249C6"/>
    <w:rsid w:val="00D24E4A"/>
    <w:rsid w:val="00D25DBD"/>
    <w:rsid w:val="00D2688A"/>
    <w:rsid w:val="00D26D96"/>
    <w:rsid w:val="00D27DFF"/>
    <w:rsid w:val="00D303B1"/>
    <w:rsid w:val="00D30574"/>
    <w:rsid w:val="00D308D3"/>
    <w:rsid w:val="00D30BEE"/>
    <w:rsid w:val="00D31867"/>
    <w:rsid w:val="00D327E0"/>
    <w:rsid w:val="00D32962"/>
    <w:rsid w:val="00D329D2"/>
    <w:rsid w:val="00D33323"/>
    <w:rsid w:val="00D33934"/>
    <w:rsid w:val="00D33E34"/>
    <w:rsid w:val="00D3418A"/>
    <w:rsid w:val="00D34461"/>
    <w:rsid w:val="00D34B52"/>
    <w:rsid w:val="00D34D23"/>
    <w:rsid w:val="00D34E99"/>
    <w:rsid w:val="00D35E71"/>
    <w:rsid w:val="00D367B5"/>
    <w:rsid w:val="00D367BA"/>
    <w:rsid w:val="00D36E7F"/>
    <w:rsid w:val="00D370AE"/>
    <w:rsid w:val="00D37289"/>
    <w:rsid w:val="00D37651"/>
    <w:rsid w:val="00D37B79"/>
    <w:rsid w:val="00D400E1"/>
    <w:rsid w:val="00D4074B"/>
    <w:rsid w:val="00D40811"/>
    <w:rsid w:val="00D417A4"/>
    <w:rsid w:val="00D41B2F"/>
    <w:rsid w:val="00D4270B"/>
    <w:rsid w:val="00D42AAA"/>
    <w:rsid w:val="00D433AF"/>
    <w:rsid w:val="00D434B1"/>
    <w:rsid w:val="00D43701"/>
    <w:rsid w:val="00D44C03"/>
    <w:rsid w:val="00D4591F"/>
    <w:rsid w:val="00D46C0E"/>
    <w:rsid w:val="00D478EE"/>
    <w:rsid w:val="00D47D5D"/>
    <w:rsid w:val="00D47F2D"/>
    <w:rsid w:val="00D500A8"/>
    <w:rsid w:val="00D50CA4"/>
    <w:rsid w:val="00D513D2"/>
    <w:rsid w:val="00D517E9"/>
    <w:rsid w:val="00D52B2A"/>
    <w:rsid w:val="00D5377D"/>
    <w:rsid w:val="00D53954"/>
    <w:rsid w:val="00D53966"/>
    <w:rsid w:val="00D53A71"/>
    <w:rsid w:val="00D53EB9"/>
    <w:rsid w:val="00D54BB3"/>
    <w:rsid w:val="00D557FD"/>
    <w:rsid w:val="00D55C89"/>
    <w:rsid w:val="00D562D0"/>
    <w:rsid w:val="00D56344"/>
    <w:rsid w:val="00D56742"/>
    <w:rsid w:val="00D60520"/>
    <w:rsid w:val="00D609E1"/>
    <w:rsid w:val="00D63511"/>
    <w:rsid w:val="00D64DB3"/>
    <w:rsid w:val="00D66CD3"/>
    <w:rsid w:val="00D67F9F"/>
    <w:rsid w:val="00D704CB"/>
    <w:rsid w:val="00D71DA8"/>
    <w:rsid w:val="00D71DC6"/>
    <w:rsid w:val="00D725BF"/>
    <w:rsid w:val="00D72A42"/>
    <w:rsid w:val="00D72D98"/>
    <w:rsid w:val="00D73D8E"/>
    <w:rsid w:val="00D74030"/>
    <w:rsid w:val="00D742B4"/>
    <w:rsid w:val="00D746DF"/>
    <w:rsid w:val="00D76D73"/>
    <w:rsid w:val="00D77A42"/>
    <w:rsid w:val="00D77CB7"/>
    <w:rsid w:val="00D8043F"/>
    <w:rsid w:val="00D818DB"/>
    <w:rsid w:val="00D81CAF"/>
    <w:rsid w:val="00D822A8"/>
    <w:rsid w:val="00D822EA"/>
    <w:rsid w:val="00D823F9"/>
    <w:rsid w:val="00D824B2"/>
    <w:rsid w:val="00D826CF"/>
    <w:rsid w:val="00D8308F"/>
    <w:rsid w:val="00D83137"/>
    <w:rsid w:val="00D839DF"/>
    <w:rsid w:val="00D8418E"/>
    <w:rsid w:val="00D84888"/>
    <w:rsid w:val="00D84D53"/>
    <w:rsid w:val="00D86234"/>
    <w:rsid w:val="00D86B5D"/>
    <w:rsid w:val="00D86B9E"/>
    <w:rsid w:val="00D878B5"/>
    <w:rsid w:val="00D87A25"/>
    <w:rsid w:val="00D87F0E"/>
    <w:rsid w:val="00D901E7"/>
    <w:rsid w:val="00D902D0"/>
    <w:rsid w:val="00D903C3"/>
    <w:rsid w:val="00D91072"/>
    <w:rsid w:val="00D92E6B"/>
    <w:rsid w:val="00D93058"/>
    <w:rsid w:val="00D933A5"/>
    <w:rsid w:val="00D93BCE"/>
    <w:rsid w:val="00D93DCA"/>
    <w:rsid w:val="00D94C80"/>
    <w:rsid w:val="00D951E2"/>
    <w:rsid w:val="00D95B03"/>
    <w:rsid w:val="00D960A8"/>
    <w:rsid w:val="00D968A6"/>
    <w:rsid w:val="00D97372"/>
    <w:rsid w:val="00D9796E"/>
    <w:rsid w:val="00DA032E"/>
    <w:rsid w:val="00DA0546"/>
    <w:rsid w:val="00DA0825"/>
    <w:rsid w:val="00DA4178"/>
    <w:rsid w:val="00DA6487"/>
    <w:rsid w:val="00DA6A76"/>
    <w:rsid w:val="00DA7554"/>
    <w:rsid w:val="00DA7799"/>
    <w:rsid w:val="00DB0434"/>
    <w:rsid w:val="00DB200D"/>
    <w:rsid w:val="00DB2A5C"/>
    <w:rsid w:val="00DB3CE5"/>
    <w:rsid w:val="00DB4455"/>
    <w:rsid w:val="00DB5860"/>
    <w:rsid w:val="00DB5B96"/>
    <w:rsid w:val="00DB65AB"/>
    <w:rsid w:val="00DB690E"/>
    <w:rsid w:val="00DB6AE9"/>
    <w:rsid w:val="00DB6E02"/>
    <w:rsid w:val="00DB74E9"/>
    <w:rsid w:val="00DB76D2"/>
    <w:rsid w:val="00DC04CC"/>
    <w:rsid w:val="00DC06A7"/>
    <w:rsid w:val="00DC1E1C"/>
    <w:rsid w:val="00DC1ED3"/>
    <w:rsid w:val="00DC1F19"/>
    <w:rsid w:val="00DC3894"/>
    <w:rsid w:val="00DC3BB4"/>
    <w:rsid w:val="00DC3EAE"/>
    <w:rsid w:val="00DC5581"/>
    <w:rsid w:val="00DC6FC4"/>
    <w:rsid w:val="00DC7071"/>
    <w:rsid w:val="00DC739F"/>
    <w:rsid w:val="00DC7C9B"/>
    <w:rsid w:val="00DD06EB"/>
    <w:rsid w:val="00DD20D3"/>
    <w:rsid w:val="00DD23E7"/>
    <w:rsid w:val="00DD269D"/>
    <w:rsid w:val="00DD2D36"/>
    <w:rsid w:val="00DD30B8"/>
    <w:rsid w:val="00DD50CC"/>
    <w:rsid w:val="00DD60A5"/>
    <w:rsid w:val="00DD60CF"/>
    <w:rsid w:val="00DD648B"/>
    <w:rsid w:val="00DD6B12"/>
    <w:rsid w:val="00DD6F55"/>
    <w:rsid w:val="00DD74E1"/>
    <w:rsid w:val="00DE088E"/>
    <w:rsid w:val="00DE101C"/>
    <w:rsid w:val="00DE2620"/>
    <w:rsid w:val="00DE396F"/>
    <w:rsid w:val="00DE455E"/>
    <w:rsid w:val="00DE4658"/>
    <w:rsid w:val="00DE4674"/>
    <w:rsid w:val="00DE50B9"/>
    <w:rsid w:val="00DE549E"/>
    <w:rsid w:val="00DE6E00"/>
    <w:rsid w:val="00DE7350"/>
    <w:rsid w:val="00DE7726"/>
    <w:rsid w:val="00DE7BE4"/>
    <w:rsid w:val="00DF0A62"/>
    <w:rsid w:val="00DF1BDB"/>
    <w:rsid w:val="00DF23A0"/>
    <w:rsid w:val="00DF2C5B"/>
    <w:rsid w:val="00DF3779"/>
    <w:rsid w:val="00DF3856"/>
    <w:rsid w:val="00DF4AC7"/>
    <w:rsid w:val="00DF500B"/>
    <w:rsid w:val="00DF76F0"/>
    <w:rsid w:val="00E0145A"/>
    <w:rsid w:val="00E01AF4"/>
    <w:rsid w:val="00E01B00"/>
    <w:rsid w:val="00E01B19"/>
    <w:rsid w:val="00E02F5E"/>
    <w:rsid w:val="00E033EC"/>
    <w:rsid w:val="00E04573"/>
    <w:rsid w:val="00E055A2"/>
    <w:rsid w:val="00E05719"/>
    <w:rsid w:val="00E05A2C"/>
    <w:rsid w:val="00E063D9"/>
    <w:rsid w:val="00E0782F"/>
    <w:rsid w:val="00E079A7"/>
    <w:rsid w:val="00E1004A"/>
    <w:rsid w:val="00E10B9F"/>
    <w:rsid w:val="00E11091"/>
    <w:rsid w:val="00E11216"/>
    <w:rsid w:val="00E11618"/>
    <w:rsid w:val="00E11BA4"/>
    <w:rsid w:val="00E11CB7"/>
    <w:rsid w:val="00E1457F"/>
    <w:rsid w:val="00E14EF3"/>
    <w:rsid w:val="00E14F11"/>
    <w:rsid w:val="00E1517D"/>
    <w:rsid w:val="00E165AB"/>
    <w:rsid w:val="00E16BA7"/>
    <w:rsid w:val="00E17716"/>
    <w:rsid w:val="00E17FC0"/>
    <w:rsid w:val="00E20E09"/>
    <w:rsid w:val="00E232F3"/>
    <w:rsid w:val="00E23C53"/>
    <w:rsid w:val="00E25C9D"/>
    <w:rsid w:val="00E27F41"/>
    <w:rsid w:val="00E30C6C"/>
    <w:rsid w:val="00E318FD"/>
    <w:rsid w:val="00E31F83"/>
    <w:rsid w:val="00E320D3"/>
    <w:rsid w:val="00E33975"/>
    <w:rsid w:val="00E339B3"/>
    <w:rsid w:val="00E33B26"/>
    <w:rsid w:val="00E341C1"/>
    <w:rsid w:val="00E36A8F"/>
    <w:rsid w:val="00E370D4"/>
    <w:rsid w:val="00E37838"/>
    <w:rsid w:val="00E37CAB"/>
    <w:rsid w:val="00E37D66"/>
    <w:rsid w:val="00E37EEB"/>
    <w:rsid w:val="00E40AE9"/>
    <w:rsid w:val="00E4140F"/>
    <w:rsid w:val="00E4161C"/>
    <w:rsid w:val="00E41FFA"/>
    <w:rsid w:val="00E42211"/>
    <w:rsid w:val="00E42A65"/>
    <w:rsid w:val="00E4303F"/>
    <w:rsid w:val="00E447EA"/>
    <w:rsid w:val="00E460A0"/>
    <w:rsid w:val="00E465D1"/>
    <w:rsid w:val="00E46A98"/>
    <w:rsid w:val="00E46CC6"/>
    <w:rsid w:val="00E4799B"/>
    <w:rsid w:val="00E505DD"/>
    <w:rsid w:val="00E50C03"/>
    <w:rsid w:val="00E51402"/>
    <w:rsid w:val="00E51FD6"/>
    <w:rsid w:val="00E5301F"/>
    <w:rsid w:val="00E55320"/>
    <w:rsid w:val="00E557D7"/>
    <w:rsid w:val="00E56B2A"/>
    <w:rsid w:val="00E56B33"/>
    <w:rsid w:val="00E56C41"/>
    <w:rsid w:val="00E60378"/>
    <w:rsid w:val="00E6051A"/>
    <w:rsid w:val="00E6062F"/>
    <w:rsid w:val="00E60C4D"/>
    <w:rsid w:val="00E624AC"/>
    <w:rsid w:val="00E62D28"/>
    <w:rsid w:val="00E63C18"/>
    <w:rsid w:val="00E642EC"/>
    <w:rsid w:val="00E64495"/>
    <w:rsid w:val="00E65048"/>
    <w:rsid w:val="00E6551B"/>
    <w:rsid w:val="00E66830"/>
    <w:rsid w:val="00E70E2F"/>
    <w:rsid w:val="00E70E9F"/>
    <w:rsid w:val="00E7112A"/>
    <w:rsid w:val="00E71488"/>
    <w:rsid w:val="00E71E7C"/>
    <w:rsid w:val="00E725FF"/>
    <w:rsid w:val="00E72609"/>
    <w:rsid w:val="00E7263C"/>
    <w:rsid w:val="00E72691"/>
    <w:rsid w:val="00E728FE"/>
    <w:rsid w:val="00E741C2"/>
    <w:rsid w:val="00E74985"/>
    <w:rsid w:val="00E74BC3"/>
    <w:rsid w:val="00E74D36"/>
    <w:rsid w:val="00E75C4B"/>
    <w:rsid w:val="00E75F20"/>
    <w:rsid w:val="00E7795F"/>
    <w:rsid w:val="00E77F50"/>
    <w:rsid w:val="00E80955"/>
    <w:rsid w:val="00E810AA"/>
    <w:rsid w:val="00E81C67"/>
    <w:rsid w:val="00E83A6C"/>
    <w:rsid w:val="00E83EB6"/>
    <w:rsid w:val="00E84349"/>
    <w:rsid w:val="00E8471C"/>
    <w:rsid w:val="00E84DF0"/>
    <w:rsid w:val="00E851D4"/>
    <w:rsid w:val="00E858F9"/>
    <w:rsid w:val="00E85900"/>
    <w:rsid w:val="00E85F86"/>
    <w:rsid w:val="00E8672D"/>
    <w:rsid w:val="00E8691A"/>
    <w:rsid w:val="00E86BA3"/>
    <w:rsid w:val="00E86BF0"/>
    <w:rsid w:val="00E8706B"/>
    <w:rsid w:val="00E87D69"/>
    <w:rsid w:val="00E90D85"/>
    <w:rsid w:val="00E92112"/>
    <w:rsid w:val="00E92397"/>
    <w:rsid w:val="00E92442"/>
    <w:rsid w:val="00E92ACE"/>
    <w:rsid w:val="00E9450E"/>
    <w:rsid w:val="00E94E99"/>
    <w:rsid w:val="00E95C5C"/>
    <w:rsid w:val="00E9663A"/>
    <w:rsid w:val="00E97092"/>
    <w:rsid w:val="00E9738D"/>
    <w:rsid w:val="00EA09E4"/>
    <w:rsid w:val="00EA0E0C"/>
    <w:rsid w:val="00EA25F4"/>
    <w:rsid w:val="00EA3F64"/>
    <w:rsid w:val="00EA3F97"/>
    <w:rsid w:val="00EA42AC"/>
    <w:rsid w:val="00EA4502"/>
    <w:rsid w:val="00EA5AAC"/>
    <w:rsid w:val="00EA6B81"/>
    <w:rsid w:val="00EA6B91"/>
    <w:rsid w:val="00EA6E17"/>
    <w:rsid w:val="00EB02B6"/>
    <w:rsid w:val="00EB1D79"/>
    <w:rsid w:val="00EB28AE"/>
    <w:rsid w:val="00EB3418"/>
    <w:rsid w:val="00EB4DDF"/>
    <w:rsid w:val="00EB507C"/>
    <w:rsid w:val="00EB5A5F"/>
    <w:rsid w:val="00EB7D2D"/>
    <w:rsid w:val="00EC1BCB"/>
    <w:rsid w:val="00EC1C36"/>
    <w:rsid w:val="00EC2546"/>
    <w:rsid w:val="00EC302B"/>
    <w:rsid w:val="00EC30E1"/>
    <w:rsid w:val="00EC31EB"/>
    <w:rsid w:val="00EC40D8"/>
    <w:rsid w:val="00EC473C"/>
    <w:rsid w:val="00EC62B3"/>
    <w:rsid w:val="00EC7914"/>
    <w:rsid w:val="00ED1424"/>
    <w:rsid w:val="00ED1695"/>
    <w:rsid w:val="00ED19F9"/>
    <w:rsid w:val="00ED2506"/>
    <w:rsid w:val="00ED2E03"/>
    <w:rsid w:val="00ED2E79"/>
    <w:rsid w:val="00ED30CC"/>
    <w:rsid w:val="00ED30D8"/>
    <w:rsid w:val="00ED31E1"/>
    <w:rsid w:val="00ED3DC0"/>
    <w:rsid w:val="00ED410C"/>
    <w:rsid w:val="00ED4D9C"/>
    <w:rsid w:val="00ED629B"/>
    <w:rsid w:val="00ED7CC6"/>
    <w:rsid w:val="00EE0160"/>
    <w:rsid w:val="00EE1D63"/>
    <w:rsid w:val="00EE21C0"/>
    <w:rsid w:val="00EE2536"/>
    <w:rsid w:val="00EE2712"/>
    <w:rsid w:val="00EE345D"/>
    <w:rsid w:val="00EE388D"/>
    <w:rsid w:val="00EE456B"/>
    <w:rsid w:val="00EE4831"/>
    <w:rsid w:val="00EE564D"/>
    <w:rsid w:val="00EE6196"/>
    <w:rsid w:val="00EE64C3"/>
    <w:rsid w:val="00EE66A2"/>
    <w:rsid w:val="00EE75D1"/>
    <w:rsid w:val="00EE7CFC"/>
    <w:rsid w:val="00EE7D46"/>
    <w:rsid w:val="00EE7D58"/>
    <w:rsid w:val="00EF06D5"/>
    <w:rsid w:val="00EF109A"/>
    <w:rsid w:val="00EF15E9"/>
    <w:rsid w:val="00EF1B45"/>
    <w:rsid w:val="00EF26CE"/>
    <w:rsid w:val="00EF41C5"/>
    <w:rsid w:val="00EF43DF"/>
    <w:rsid w:val="00EF60BF"/>
    <w:rsid w:val="00EF65B6"/>
    <w:rsid w:val="00EF680A"/>
    <w:rsid w:val="00EF6C02"/>
    <w:rsid w:val="00EF761C"/>
    <w:rsid w:val="00F008DB"/>
    <w:rsid w:val="00F00DFC"/>
    <w:rsid w:val="00F00F1C"/>
    <w:rsid w:val="00F01173"/>
    <w:rsid w:val="00F0277F"/>
    <w:rsid w:val="00F04007"/>
    <w:rsid w:val="00F04072"/>
    <w:rsid w:val="00F04CF8"/>
    <w:rsid w:val="00F056B4"/>
    <w:rsid w:val="00F056E7"/>
    <w:rsid w:val="00F06418"/>
    <w:rsid w:val="00F064D5"/>
    <w:rsid w:val="00F06540"/>
    <w:rsid w:val="00F071C7"/>
    <w:rsid w:val="00F07C15"/>
    <w:rsid w:val="00F101FA"/>
    <w:rsid w:val="00F10B12"/>
    <w:rsid w:val="00F11B4E"/>
    <w:rsid w:val="00F11E38"/>
    <w:rsid w:val="00F12519"/>
    <w:rsid w:val="00F12F2A"/>
    <w:rsid w:val="00F13334"/>
    <w:rsid w:val="00F13770"/>
    <w:rsid w:val="00F13870"/>
    <w:rsid w:val="00F13A27"/>
    <w:rsid w:val="00F14A7C"/>
    <w:rsid w:val="00F16C26"/>
    <w:rsid w:val="00F170E8"/>
    <w:rsid w:val="00F176D6"/>
    <w:rsid w:val="00F17D67"/>
    <w:rsid w:val="00F2003A"/>
    <w:rsid w:val="00F20A6A"/>
    <w:rsid w:val="00F21EC9"/>
    <w:rsid w:val="00F22062"/>
    <w:rsid w:val="00F246E1"/>
    <w:rsid w:val="00F24D91"/>
    <w:rsid w:val="00F25DBA"/>
    <w:rsid w:val="00F263E4"/>
    <w:rsid w:val="00F266AB"/>
    <w:rsid w:val="00F26828"/>
    <w:rsid w:val="00F268C8"/>
    <w:rsid w:val="00F26B15"/>
    <w:rsid w:val="00F26DB8"/>
    <w:rsid w:val="00F30D9E"/>
    <w:rsid w:val="00F31127"/>
    <w:rsid w:val="00F31EAF"/>
    <w:rsid w:val="00F32150"/>
    <w:rsid w:val="00F32B3A"/>
    <w:rsid w:val="00F336A6"/>
    <w:rsid w:val="00F33B15"/>
    <w:rsid w:val="00F3488E"/>
    <w:rsid w:val="00F34A94"/>
    <w:rsid w:val="00F34E07"/>
    <w:rsid w:val="00F3566C"/>
    <w:rsid w:val="00F36768"/>
    <w:rsid w:val="00F36E8A"/>
    <w:rsid w:val="00F372AA"/>
    <w:rsid w:val="00F377D0"/>
    <w:rsid w:val="00F40640"/>
    <w:rsid w:val="00F413E4"/>
    <w:rsid w:val="00F420E9"/>
    <w:rsid w:val="00F42171"/>
    <w:rsid w:val="00F44226"/>
    <w:rsid w:val="00F45421"/>
    <w:rsid w:val="00F46278"/>
    <w:rsid w:val="00F46A65"/>
    <w:rsid w:val="00F47EAB"/>
    <w:rsid w:val="00F50DCC"/>
    <w:rsid w:val="00F51DF1"/>
    <w:rsid w:val="00F52FD6"/>
    <w:rsid w:val="00F537F8"/>
    <w:rsid w:val="00F55643"/>
    <w:rsid w:val="00F5569B"/>
    <w:rsid w:val="00F56291"/>
    <w:rsid w:val="00F566AD"/>
    <w:rsid w:val="00F5709D"/>
    <w:rsid w:val="00F5765C"/>
    <w:rsid w:val="00F600D1"/>
    <w:rsid w:val="00F61892"/>
    <w:rsid w:val="00F61B04"/>
    <w:rsid w:val="00F61C18"/>
    <w:rsid w:val="00F628BE"/>
    <w:rsid w:val="00F62E0E"/>
    <w:rsid w:val="00F63251"/>
    <w:rsid w:val="00F640B6"/>
    <w:rsid w:val="00F64466"/>
    <w:rsid w:val="00F64D60"/>
    <w:rsid w:val="00F64F99"/>
    <w:rsid w:val="00F65951"/>
    <w:rsid w:val="00F67371"/>
    <w:rsid w:val="00F67B02"/>
    <w:rsid w:val="00F67E59"/>
    <w:rsid w:val="00F70C9A"/>
    <w:rsid w:val="00F70F1D"/>
    <w:rsid w:val="00F7185A"/>
    <w:rsid w:val="00F723B2"/>
    <w:rsid w:val="00F72668"/>
    <w:rsid w:val="00F727AD"/>
    <w:rsid w:val="00F74D09"/>
    <w:rsid w:val="00F74FCC"/>
    <w:rsid w:val="00F750DB"/>
    <w:rsid w:val="00F75AF6"/>
    <w:rsid w:val="00F777F2"/>
    <w:rsid w:val="00F77981"/>
    <w:rsid w:val="00F77A5E"/>
    <w:rsid w:val="00F80B4E"/>
    <w:rsid w:val="00F80DA1"/>
    <w:rsid w:val="00F81005"/>
    <w:rsid w:val="00F81249"/>
    <w:rsid w:val="00F819CD"/>
    <w:rsid w:val="00F81ED1"/>
    <w:rsid w:val="00F81F11"/>
    <w:rsid w:val="00F81FD3"/>
    <w:rsid w:val="00F83109"/>
    <w:rsid w:val="00F836F4"/>
    <w:rsid w:val="00F8380D"/>
    <w:rsid w:val="00F83BE0"/>
    <w:rsid w:val="00F841DC"/>
    <w:rsid w:val="00F84F80"/>
    <w:rsid w:val="00F85805"/>
    <w:rsid w:val="00F86542"/>
    <w:rsid w:val="00F86DB5"/>
    <w:rsid w:val="00F8745B"/>
    <w:rsid w:val="00F87CA3"/>
    <w:rsid w:val="00F90687"/>
    <w:rsid w:val="00F94A6C"/>
    <w:rsid w:val="00F95431"/>
    <w:rsid w:val="00F958C2"/>
    <w:rsid w:val="00F959A9"/>
    <w:rsid w:val="00F968D1"/>
    <w:rsid w:val="00F97D4B"/>
    <w:rsid w:val="00FA10A3"/>
    <w:rsid w:val="00FA1688"/>
    <w:rsid w:val="00FA200E"/>
    <w:rsid w:val="00FA2CD4"/>
    <w:rsid w:val="00FA3401"/>
    <w:rsid w:val="00FA4267"/>
    <w:rsid w:val="00FA477A"/>
    <w:rsid w:val="00FA4C13"/>
    <w:rsid w:val="00FA6627"/>
    <w:rsid w:val="00FA6B79"/>
    <w:rsid w:val="00FA6FA7"/>
    <w:rsid w:val="00FA7146"/>
    <w:rsid w:val="00FA7A0B"/>
    <w:rsid w:val="00FB0635"/>
    <w:rsid w:val="00FB15EF"/>
    <w:rsid w:val="00FB1FEE"/>
    <w:rsid w:val="00FB384B"/>
    <w:rsid w:val="00FB3B89"/>
    <w:rsid w:val="00FB4303"/>
    <w:rsid w:val="00FB46DC"/>
    <w:rsid w:val="00FB4A4A"/>
    <w:rsid w:val="00FB4D27"/>
    <w:rsid w:val="00FB5730"/>
    <w:rsid w:val="00FB5848"/>
    <w:rsid w:val="00FB619F"/>
    <w:rsid w:val="00FB6A14"/>
    <w:rsid w:val="00FC0002"/>
    <w:rsid w:val="00FC0067"/>
    <w:rsid w:val="00FC0580"/>
    <w:rsid w:val="00FC0683"/>
    <w:rsid w:val="00FC073F"/>
    <w:rsid w:val="00FC10DA"/>
    <w:rsid w:val="00FC2209"/>
    <w:rsid w:val="00FC272A"/>
    <w:rsid w:val="00FC2BF6"/>
    <w:rsid w:val="00FC3B4E"/>
    <w:rsid w:val="00FC3D78"/>
    <w:rsid w:val="00FC4D26"/>
    <w:rsid w:val="00FC5D85"/>
    <w:rsid w:val="00FC5DD1"/>
    <w:rsid w:val="00FC6155"/>
    <w:rsid w:val="00FC6351"/>
    <w:rsid w:val="00FC6B9C"/>
    <w:rsid w:val="00FC772C"/>
    <w:rsid w:val="00FD19C8"/>
    <w:rsid w:val="00FD1B74"/>
    <w:rsid w:val="00FD20AE"/>
    <w:rsid w:val="00FD25DC"/>
    <w:rsid w:val="00FD3369"/>
    <w:rsid w:val="00FD3815"/>
    <w:rsid w:val="00FD3FC1"/>
    <w:rsid w:val="00FD415B"/>
    <w:rsid w:val="00FD4897"/>
    <w:rsid w:val="00FD4D36"/>
    <w:rsid w:val="00FD5B50"/>
    <w:rsid w:val="00FD622E"/>
    <w:rsid w:val="00FD78A9"/>
    <w:rsid w:val="00FD7BE7"/>
    <w:rsid w:val="00FD7C41"/>
    <w:rsid w:val="00FD7D29"/>
    <w:rsid w:val="00FD7D8A"/>
    <w:rsid w:val="00FE03F7"/>
    <w:rsid w:val="00FE0478"/>
    <w:rsid w:val="00FE135C"/>
    <w:rsid w:val="00FE20E1"/>
    <w:rsid w:val="00FE25DE"/>
    <w:rsid w:val="00FE3F20"/>
    <w:rsid w:val="00FE4409"/>
    <w:rsid w:val="00FE4AC0"/>
    <w:rsid w:val="00FE4DC5"/>
    <w:rsid w:val="00FE4F73"/>
    <w:rsid w:val="00FE6807"/>
    <w:rsid w:val="00FF0352"/>
    <w:rsid w:val="00FF041D"/>
    <w:rsid w:val="00FF0F40"/>
    <w:rsid w:val="00FF2618"/>
    <w:rsid w:val="00FF4238"/>
    <w:rsid w:val="00FF4877"/>
    <w:rsid w:val="00FF6045"/>
    <w:rsid w:val="00FF688E"/>
    <w:rsid w:val="00FF6AE9"/>
    <w:rsid w:val="00FF6EFF"/>
    <w:rsid w:val="00FF7482"/>
    <w:rsid w:val="00FF7665"/>
    <w:rsid w:val="01225C92"/>
    <w:rsid w:val="04664061"/>
    <w:rsid w:val="04BE2B92"/>
    <w:rsid w:val="05C544E4"/>
    <w:rsid w:val="06620F36"/>
    <w:rsid w:val="06BB7434"/>
    <w:rsid w:val="0871751B"/>
    <w:rsid w:val="09E63A1C"/>
    <w:rsid w:val="0A57042E"/>
    <w:rsid w:val="0BF60B84"/>
    <w:rsid w:val="0C9629CD"/>
    <w:rsid w:val="0CA41575"/>
    <w:rsid w:val="0CE9036A"/>
    <w:rsid w:val="0E1C5880"/>
    <w:rsid w:val="0FC5513F"/>
    <w:rsid w:val="11E3633F"/>
    <w:rsid w:val="12FB01FA"/>
    <w:rsid w:val="136B478A"/>
    <w:rsid w:val="13C23D52"/>
    <w:rsid w:val="144D7DB8"/>
    <w:rsid w:val="14880160"/>
    <w:rsid w:val="14FE36EE"/>
    <w:rsid w:val="15D80D83"/>
    <w:rsid w:val="16A07EF7"/>
    <w:rsid w:val="16C27CB0"/>
    <w:rsid w:val="17B123AB"/>
    <w:rsid w:val="18DC4606"/>
    <w:rsid w:val="18F267B9"/>
    <w:rsid w:val="1B330108"/>
    <w:rsid w:val="1F680E11"/>
    <w:rsid w:val="2012366B"/>
    <w:rsid w:val="202458A7"/>
    <w:rsid w:val="21294A51"/>
    <w:rsid w:val="217A0D48"/>
    <w:rsid w:val="21D06F25"/>
    <w:rsid w:val="21E66F14"/>
    <w:rsid w:val="23E73B16"/>
    <w:rsid w:val="244E55E3"/>
    <w:rsid w:val="2464445E"/>
    <w:rsid w:val="24957AA3"/>
    <w:rsid w:val="2573006F"/>
    <w:rsid w:val="271D4805"/>
    <w:rsid w:val="27CA559F"/>
    <w:rsid w:val="28BA7B7A"/>
    <w:rsid w:val="28F47AD9"/>
    <w:rsid w:val="2A3C26C0"/>
    <w:rsid w:val="2B4A6CE9"/>
    <w:rsid w:val="2B4D4048"/>
    <w:rsid w:val="2C1E0186"/>
    <w:rsid w:val="2E2A7FC8"/>
    <w:rsid w:val="313C15D4"/>
    <w:rsid w:val="33F236D9"/>
    <w:rsid w:val="340B2EC7"/>
    <w:rsid w:val="35C12065"/>
    <w:rsid w:val="38CD48AF"/>
    <w:rsid w:val="3B7C15B2"/>
    <w:rsid w:val="3C3B2C6B"/>
    <w:rsid w:val="3C651407"/>
    <w:rsid w:val="3D9B6401"/>
    <w:rsid w:val="3E9C2E65"/>
    <w:rsid w:val="3F0826DD"/>
    <w:rsid w:val="3F0A33DD"/>
    <w:rsid w:val="3F6C4A70"/>
    <w:rsid w:val="40C66D97"/>
    <w:rsid w:val="410041E5"/>
    <w:rsid w:val="41B8334D"/>
    <w:rsid w:val="42DD1AB1"/>
    <w:rsid w:val="42FD5769"/>
    <w:rsid w:val="43394305"/>
    <w:rsid w:val="43B736B8"/>
    <w:rsid w:val="43C05907"/>
    <w:rsid w:val="452F4438"/>
    <w:rsid w:val="470233C1"/>
    <w:rsid w:val="470C3DB1"/>
    <w:rsid w:val="47506C86"/>
    <w:rsid w:val="48A623F3"/>
    <w:rsid w:val="490F359D"/>
    <w:rsid w:val="49D23432"/>
    <w:rsid w:val="4A4A31F2"/>
    <w:rsid w:val="4ABA65C4"/>
    <w:rsid w:val="4B41430D"/>
    <w:rsid w:val="4B446BBC"/>
    <w:rsid w:val="4BF564B1"/>
    <w:rsid w:val="4CA97AD3"/>
    <w:rsid w:val="4DC7059C"/>
    <w:rsid w:val="4F914F97"/>
    <w:rsid w:val="4FD661DE"/>
    <w:rsid w:val="4FDB0270"/>
    <w:rsid w:val="504A2746"/>
    <w:rsid w:val="50BA1403"/>
    <w:rsid w:val="52481E9E"/>
    <w:rsid w:val="530863B6"/>
    <w:rsid w:val="53D75D5D"/>
    <w:rsid w:val="54735DF5"/>
    <w:rsid w:val="551E3E09"/>
    <w:rsid w:val="553E2AD1"/>
    <w:rsid w:val="55C71B7D"/>
    <w:rsid w:val="56B953F2"/>
    <w:rsid w:val="57E970EC"/>
    <w:rsid w:val="59A922CB"/>
    <w:rsid w:val="59F959FA"/>
    <w:rsid w:val="5D307C11"/>
    <w:rsid w:val="5E2E7267"/>
    <w:rsid w:val="5F8673AE"/>
    <w:rsid w:val="60423C64"/>
    <w:rsid w:val="607F16D8"/>
    <w:rsid w:val="62904D40"/>
    <w:rsid w:val="63546386"/>
    <w:rsid w:val="63FB376C"/>
    <w:rsid w:val="641833E7"/>
    <w:rsid w:val="64976FD9"/>
    <w:rsid w:val="66370048"/>
    <w:rsid w:val="66BB40F5"/>
    <w:rsid w:val="67CA4576"/>
    <w:rsid w:val="67EB13E2"/>
    <w:rsid w:val="6813098D"/>
    <w:rsid w:val="69513366"/>
    <w:rsid w:val="69FD4338"/>
    <w:rsid w:val="6C3A7633"/>
    <w:rsid w:val="6CC65404"/>
    <w:rsid w:val="6E6C51E7"/>
    <w:rsid w:val="6F6A12B5"/>
    <w:rsid w:val="709C0EE9"/>
    <w:rsid w:val="73347162"/>
    <w:rsid w:val="750F2582"/>
    <w:rsid w:val="76461C9C"/>
    <w:rsid w:val="766475F5"/>
    <w:rsid w:val="76DF3AB4"/>
    <w:rsid w:val="794370E1"/>
    <w:rsid w:val="79DC0B9D"/>
    <w:rsid w:val="7BA45A12"/>
    <w:rsid w:val="7BF54E85"/>
    <w:rsid w:val="7C422EA0"/>
    <w:rsid w:val="7D9366D3"/>
    <w:rsid w:val="7D9F259A"/>
    <w:rsid w:val="7DBB2906"/>
    <w:rsid w:val="7FCB4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仿宋_GB2312" w:cs="Times New Roman"/>
      <w:kern w:val="2"/>
      <w:sz w:val="28"/>
      <w:lang w:val="en-US" w:eastAsia="zh-CN" w:bidi="ar-SA"/>
    </w:rPr>
  </w:style>
  <w:style w:type="paragraph" w:styleId="3">
    <w:name w:val="heading 1"/>
    <w:basedOn w:val="1"/>
    <w:next w:val="1"/>
    <w:link w:val="55"/>
    <w:qFormat/>
    <w:uiPriority w:val="0"/>
    <w:pPr>
      <w:keepNext/>
      <w:outlineLvl w:val="0"/>
    </w:pPr>
  </w:style>
  <w:style w:type="paragraph" w:styleId="4">
    <w:name w:val="heading 2"/>
    <w:basedOn w:val="1"/>
    <w:next w:val="1"/>
    <w:link w:val="60"/>
    <w:qFormat/>
    <w:uiPriority w:val="0"/>
    <w:pPr>
      <w:keepNext/>
      <w:keepLines/>
      <w:spacing w:before="260" w:after="260" w:line="416" w:lineRule="auto"/>
      <w:outlineLvl w:val="1"/>
    </w:pPr>
    <w:rPr>
      <w:rFonts w:ascii="Cambria" w:hAnsi="Cambria" w:eastAsia="宋体"/>
      <w:b/>
      <w:bCs/>
      <w:sz w:val="32"/>
      <w:szCs w:val="32"/>
    </w:rPr>
  </w:style>
  <w:style w:type="paragraph" w:styleId="5">
    <w:name w:val="heading 4"/>
    <w:basedOn w:val="1"/>
    <w:next w:val="1"/>
    <w:qFormat/>
    <w:uiPriority w:val="0"/>
    <w:pPr>
      <w:keepNext/>
      <w:spacing w:line="560" w:lineRule="exact"/>
      <w:ind w:firstLine="613" w:firstLineChars="219"/>
      <w:outlineLvl w:val="3"/>
    </w:pPr>
    <w:rPr>
      <w:rFonts w:ascii="宋体" w:hAnsi="宋体" w:eastAsia="宋体"/>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52"/>
    <w:qFormat/>
    <w:uiPriority w:val="99"/>
    <w:pPr>
      <w:tabs>
        <w:tab w:val="center" w:pos="4153"/>
        <w:tab w:val="right" w:pos="8306"/>
      </w:tabs>
      <w:snapToGrid w:val="0"/>
    </w:pPr>
    <w:rPr>
      <w:sz w:val="18"/>
      <w:szCs w:val="18"/>
    </w:rPr>
  </w:style>
  <w:style w:type="paragraph" w:styleId="6">
    <w:name w:val="Normal Indent"/>
    <w:basedOn w:val="1"/>
    <w:link w:val="56"/>
    <w:qFormat/>
    <w:uiPriority w:val="0"/>
    <w:pPr>
      <w:ind w:firstLine="420" w:firstLineChars="20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qFormat/>
    <w:uiPriority w:val="0"/>
    <w:pPr>
      <w:shd w:val="clear" w:color="auto" w:fill="000080"/>
    </w:pPr>
    <w:rPr>
      <w:rFonts w:eastAsia="宋体"/>
      <w:sz w:val="21"/>
    </w:rPr>
  </w:style>
  <w:style w:type="paragraph" w:styleId="9">
    <w:name w:val="annotation text"/>
    <w:basedOn w:val="1"/>
    <w:qFormat/>
    <w:uiPriority w:val="0"/>
  </w:style>
  <w:style w:type="paragraph" w:styleId="10">
    <w:name w:val="Body Text"/>
    <w:basedOn w:val="1"/>
    <w:qFormat/>
    <w:uiPriority w:val="0"/>
    <w:rPr>
      <w:sz w:val="21"/>
    </w:rPr>
  </w:style>
  <w:style w:type="paragraph" w:styleId="11">
    <w:name w:val="Body Text Indent"/>
    <w:basedOn w:val="1"/>
    <w:link w:val="105"/>
    <w:qFormat/>
    <w:uiPriority w:val="0"/>
    <w:pPr>
      <w:autoSpaceDE w:val="0"/>
      <w:autoSpaceDN w:val="0"/>
      <w:adjustRightInd w:val="0"/>
      <w:spacing w:line="540" w:lineRule="exact"/>
      <w:ind w:right="-120" w:firstLine="743"/>
    </w:pPr>
    <w:rPr>
      <w:rFonts w:ascii="仿宋_GB2312"/>
      <w:kern w:val="0"/>
      <w:sz w:val="30"/>
    </w:rPr>
  </w:style>
  <w:style w:type="paragraph" w:styleId="12">
    <w:name w:val="Block Text"/>
    <w:basedOn w:val="1"/>
    <w:qFormat/>
    <w:uiPriority w:val="0"/>
    <w:pPr>
      <w:tabs>
        <w:tab w:val="left" w:pos="7315"/>
      </w:tabs>
      <w:ind w:left="-144" w:leftChars="-72" w:right="-100" w:rightChars="-50" w:firstLine="560" w:firstLineChars="200"/>
    </w:pPr>
    <w:rPr>
      <w:rFonts w:ascii="仿宋_GB2312"/>
      <w:kern w:val="0"/>
    </w:rPr>
  </w:style>
  <w:style w:type="paragraph" w:styleId="13">
    <w:name w:val="Plain Text"/>
    <w:basedOn w:val="1"/>
    <w:link w:val="54"/>
    <w:qFormat/>
    <w:uiPriority w:val="0"/>
    <w:rPr>
      <w:rFonts w:ascii="宋体" w:hAnsi="Courier New" w:eastAsia="宋体" w:cs="Courier New"/>
      <w:sz w:val="21"/>
      <w:szCs w:val="21"/>
    </w:rPr>
  </w:style>
  <w:style w:type="paragraph" w:styleId="14">
    <w:name w:val="Date"/>
    <w:basedOn w:val="1"/>
    <w:next w:val="1"/>
    <w:qFormat/>
    <w:uiPriority w:val="0"/>
    <w:rPr>
      <w:rFonts w:ascii="仿宋_GB2312"/>
      <w:sz w:val="32"/>
    </w:rPr>
  </w:style>
  <w:style w:type="paragraph" w:styleId="15">
    <w:name w:val="Body Text Indent 2"/>
    <w:basedOn w:val="1"/>
    <w:qFormat/>
    <w:uiPriority w:val="0"/>
    <w:pPr>
      <w:autoSpaceDE w:val="0"/>
      <w:autoSpaceDN w:val="0"/>
      <w:adjustRightInd w:val="0"/>
      <w:ind w:firstLine="428"/>
    </w:pPr>
    <w:rPr>
      <w:rFonts w:ascii="仿宋_GB2312"/>
      <w:kern w:val="0"/>
    </w:rPr>
  </w:style>
  <w:style w:type="paragraph" w:styleId="16">
    <w:name w:val="Balloon Text"/>
    <w:basedOn w:val="1"/>
    <w:link w:val="104"/>
    <w:qFormat/>
    <w:uiPriority w:val="99"/>
    <w:rPr>
      <w:sz w:val="18"/>
      <w:szCs w:val="18"/>
    </w:rPr>
  </w:style>
  <w:style w:type="paragraph" w:styleId="17">
    <w:name w:val="header"/>
    <w:basedOn w:val="1"/>
    <w:link w:val="46"/>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lang w:val="zh-CN"/>
    </w:rPr>
  </w:style>
  <w:style w:type="paragraph" w:styleId="19">
    <w:name w:val="Body Text Indent 3"/>
    <w:basedOn w:val="1"/>
    <w:qFormat/>
    <w:uiPriority w:val="0"/>
    <w:pPr>
      <w:spacing w:line="640" w:lineRule="exact"/>
      <w:ind w:left="-164" w:firstLine="791"/>
    </w:pPr>
    <w:rPr>
      <w:rFonts w:ascii="仿宋_GB2312"/>
      <w:sz w:val="30"/>
    </w:rPr>
  </w:style>
  <w:style w:type="paragraph" w:styleId="20">
    <w:name w:val="Body Text 2"/>
    <w:basedOn w:val="1"/>
    <w:qFormat/>
    <w:uiPriority w:val="0"/>
    <w:pPr>
      <w:spacing w:line="540" w:lineRule="exact"/>
    </w:pPr>
    <w:rPr>
      <w:rFonts w:ascii="仿宋_GB2312"/>
      <w:sz w:val="30"/>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kern w:val="0"/>
      <w:sz w:val="24"/>
      <w:szCs w:val="24"/>
    </w:rPr>
  </w:style>
  <w:style w:type="paragraph" w:styleId="22">
    <w:name w:val="Normal (Web)"/>
    <w:basedOn w:val="1"/>
    <w:qFormat/>
    <w:uiPriority w:val="0"/>
    <w:pPr>
      <w:spacing w:before="100" w:beforeAutospacing="1" w:after="100" w:afterAutospacing="1"/>
    </w:pPr>
    <w:rPr>
      <w:rFonts w:ascii="宋体" w:hAnsi="宋体" w:eastAsia="宋体" w:cs="宋体"/>
      <w:kern w:val="0"/>
      <w:sz w:val="24"/>
      <w:szCs w:val="24"/>
    </w:rPr>
  </w:style>
  <w:style w:type="paragraph" w:styleId="23">
    <w:name w:val="index 1"/>
    <w:basedOn w:val="1"/>
    <w:next w:val="1"/>
    <w:qFormat/>
    <w:uiPriority w:val="0"/>
    <w:pPr>
      <w:jc w:val="center"/>
    </w:pPr>
    <w:rPr>
      <w:rFonts w:ascii="宋体" w:hAnsi="宋体" w:eastAsia="宋体"/>
      <w:bCs/>
      <w:color w:val="FF0000"/>
      <w:sz w:val="21"/>
      <w:szCs w:val="21"/>
    </w:rPr>
  </w:style>
  <w:style w:type="paragraph" w:styleId="24">
    <w:name w:val="annotation subject"/>
    <w:basedOn w:val="9"/>
    <w:next w:val="9"/>
    <w:qFormat/>
    <w:uiPriority w:val="0"/>
    <w:rPr>
      <w:b/>
      <w:bCs/>
    </w:rPr>
  </w:style>
  <w:style w:type="paragraph" w:styleId="25">
    <w:name w:val="Body Text First Indent"/>
    <w:basedOn w:val="10"/>
    <w:qFormat/>
    <w:uiPriority w:val="0"/>
    <w:pPr>
      <w:spacing w:after="120"/>
      <w:ind w:firstLine="420" w:firstLineChars="100"/>
    </w:pPr>
    <w:rPr>
      <w:sz w:val="28"/>
    </w:rPr>
  </w:style>
  <w:style w:type="paragraph" w:styleId="26">
    <w:name w:val="Body Text First Indent 2"/>
    <w:basedOn w:val="11"/>
    <w:next w:val="27"/>
    <w:link w:val="106"/>
    <w:qFormat/>
    <w:uiPriority w:val="0"/>
    <w:pPr>
      <w:autoSpaceDE/>
      <w:autoSpaceDN/>
      <w:adjustRightInd/>
      <w:spacing w:after="120" w:line="360" w:lineRule="auto"/>
      <w:ind w:left="420" w:leftChars="200" w:right="0" w:firstLine="420" w:firstLineChars="200"/>
    </w:pPr>
    <w:rPr>
      <w:rFonts w:ascii="Times New Roman"/>
      <w:kern w:val="2"/>
      <w:sz w:val="28"/>
    </w:rPr>
  </w:style>
  <w:style w:type="paragraph" w:customStyle="1" w:styleId="27">
    <w:name w:val="Default"/>
    <w:qFormat/>
    <w:uiPriority w:val="0"/>
    <w:pPr>
      <w:widowControl w:val="0"/>
      <w:autoSpaceDE w:val="0"/>
      <w:autoSpaceDN w:val="0"/>
      <w:adjustRightInd w:val="0"/>
      <w:spacing w:line="360" w:lineRule="auto"/>
    </w:pPr>
    <w:rPr>
      <w:rFonts w:ascii="宋体" w:hAnsi="Times New Roman" w:eastAsia="宋体" w:cs="Times New Roman"/>
      <w:color w:val="000000"/>
      <w:sz w:val="24"/>
      <w:szCs w:val="24"/>
      <w:lang w:val="en-US" w:eastAsia="zh-CN" w:bidi="ar-SA"/>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000000"/>
      <w:u w:val="none"/>
    </w:rPr>
  </w:style>
  <w:style w:type="character" w:styleId="34">
    <w:name w:val="line number"/>
    <w:qFormat/>
    <w:uiPriority w:val="0"/>
  </w:style>
  <w:style w:type="character" w:styleId="35">
    <w:name w:val="Hyperlink"/>
    <w:qFormat/>
    <w:uiPriority w:val="0"/>
    <w:rPr>
      <w:color w:val="136EC2"/>
      <w:u w:val="single"/>
    </w:rPr>
  </w:style>
  <w:style w:type="character" w:styleId="36">
    <w:name w:val="annotation reference"/>
    <w:qFormat/>
    <w:uiPriority w:val="0"/>
    <w:rPr>
      <w:sz w:val="21"/>
      <w:szCs w:val="21"/>
    </w:rPr>
  </w:style>
  <w:style w:type="character" w:customStyle="1" w:styleId="37">
    <w:name w:val="表格 Char"/>
    <w:link w:val="38"/>
    <w:qFormat/>
    <w:uiPriority w:val="0"/>
    <w:rPr>
      <w:kern w:val="2"/>
      <w:sz w:val="24"/>
      <w:szCs w:val="24"/>
    </w:rPr>
  </w:style>
  <w:style w:type="paragraph" w:customStyle="1" w:styleId="38">
    <w:name w:val="表格"/>
    <w:basedOn w:val="1"/>
    <w:link w:val="37"/>
    <w:qFormat/>
    <w:uiPriority w:val="0"/>
    <w:pPr>
      <w:jc w:val="center"/>
    </w:pPr>
    <w:rPr>
      <w:rFonts w:eastAsia="宋体"/>
      <w:sz w:val="24"/>
      <w:szCs w:val="24"/>
    </w:rPr>
  </w:style>
  <w:style w:type="character" w:customStyle="1" w:styleId="39">
    <w:name w:val="页码1"/>
    <w:basedOn w:val="30"/>
    <w:qFormat/>
    <w:uiPriority w:val="0"/>
  </w:style>
  <w:style w:type="character" w:customStyle="1" w:styleId="40">
    <w:name w:val="bl91"/>
    <w:qFormat/>
    <w:uiPriority w:val="0"/>
    <w:rPr>
      <w:color w:val="000000"/>
      <w:sz w:val="18"/>
      <w:szCs w:val="18"/>
    </w:rPr>
  </w:style>
  <w:style w:type="character" w:customStyle="1" w:styleId="41">
    <w:name w:val="hover32"/>
    <w:basedOn w:val="30"/>
    <w:qFormat/>
    <w:uiPriority w:val="0"/>
  </w:style>
  <w:style w:type="character" w:customStyle="1" w:styleId="42">
    <w:name w:val="radio-btn"/>
    <w:basedOn w:val="30"/>
    <w:qFormat/>
    <w:uiPriority w:val="0"/>
  </w:style>
  <w:style w:type="character" w:customStyle="1" w:styleId="43">
    <w:name w:val="cur"/>
    <w:qFormat/>
    <w:uiPriority w:val="0"/>
    <w:rPr>
      <w:color w:val="FFFFFF"/>
      <w:shd w:val="clear" w:color="auto" w:fill="0C79CC"/>
    </w:rPr>
  </w:style>
  <w:style w:type="character" w:customStyle="1" w:styleId="44">
    <w:name w:val="表格 普通文字 Char"/>
    <w:link w:val="45"/>
    <w:qFormat/>
    <w:locked/>
    <w:uiPriority w:val="0"/>
    <w:rPr>
      <w:rFonts w:eastAsia="仿宋_GB2312"/>
      <w:sz w:val="21"/>
      <w:szCs w:val="21"/>
      <w:lang w:bidi="ar-SA"/>
    </w:rPr>
  </w:style>
  <w:style w:type="paragraph" w:customStyle="1" w:styleId="45">
    <w:name w:val="表格 普通文字"/>
    <w:basedOn w:val="1"/>
    <w:link w:val="44"/>
    <w:qFormat/>
    <w:uiPriority w:val="0"/>
    <w:pPr>
      <w:jc w:val="center"/>
    </w:pPr>
    <w:rPr>
      <w:kern w:val="0"/>
      <w:sz w:val="21"/>
      <w:szCs w:val="21"/>
    </w:rPr>
  </w:style>
  <w:style w:type="character" w:customStyle="1" w:styleId="46">
    <w:name w:val="页眉 Char"/>
    <w:link w:val="17"/>
    <w:qFormat/>
    <w:uiPriority w:val="0"/>
    <w:rPr>
      <w:kern w:val="2"/>
      <w:sz w:val="18"/>
    </w:rPr>
  </w:style>
  <w:style w:type="character" w:customStyle="1" w:styleId="47">
    <w:name w:val="纯文本 Char"/>
    <w:qFormat/>
    <w:uiPriority w:val="0"/>
    <w:rPr>
      <w:rFonts w:ascii="宋体" w:hAnsi="Courier New" w:eastAsia="宋体"/>
      <w:kern w:val="2"/>
      <w:sz w:val="21"/>
      <w:lang w:val="en-US" w:eastAsia="zh-CN" w:bidi="ar-SA"/>
    </w:rPr>
  </w:style>
  <w:style w:type="character" w:customStyle="1" w:styleId="48">
    <w:name w:val="lable"/>
    <w:qFormat/>
    <w:uiPriority w:val="0"/>
    <w:rPr>
      <w:sz w:val="19"/>
      <w:szCs w:val="19"/>
    </w:rPr>
  </w:style>
  <w:style w:type="character" w:customStyle="1" w:styleId="49">
    <w:name w:val="表格 首行文字 Char"/>
    <w:link w:val="50"/>
    <w:qFormat/>
    <w:locked/>
    <w:uiPriority w:val="0"/>
    <w:rPr>
      <w:rFonts w:eastAsia="仿宋_GB2312"/>
      <w:b/>
      <w:kern w:val="2"/>
      <w:sz w:val="21"/>
      <w:szCs w:val="22"/>
      <w:lang w:bidi="ar-SA"/>
    </w:rPr>
  </w:style>
  <w:style w:type="paragraph" w:customStyle="1" w:styleId="50">
    <w:name w:val="表格 首行文字"/>
    <w:basedOn w:val="1"/>
    <w:link w:val="49"/>
    <w:qFormat/>
    <w:uiPriority w:val="0"/>
    <w:pPr>
      <w:jc w:val="center"/>
    </w:pPr>
    <w:rPr>
      <w:b/>
      <w:sz w:val="21"/>
      <w:szCs w:val="22"/>
    </w:rPr>
  </w:style>
  <w:style w:type="character" w:customStyle="1" w:styleId="51">
    <w:name w:val="标题1"/>
    <w:basedOn w:val="30"/>
    <w:qFormat/>
    <w:uiPriority w:val="0"/>
  </w:style>
  <w:style w:type="character" w:customStyle="1" w:styleId="52">
    <w:name w:val="页脚 Char"/>
    <w:link w:val="2"/>
    <w:qFormat/>
    <w:uiPriority w:val="99"/>
    <w:rPr>
      <w:rFonts w:eastAsia="仿宋_GB2312"/>
      <w:kern w:val="2"/>
      <w:sz w:val="18"/>
      <w:szCs w:val="18"/>
      <w:lang w:val="en-US" w:eastAsia="zh-CN" w:bidi="ar-SA"/>
    </w:rPr>
  </w:style>
  <w:style w:type="character" w:customStyle="1" w:styleId="53">
    <w:name w:val="正文缩进 Char Char"/>
    <w:qFormat/>
    <w:uiPriority w:val="0"/>
    <w:rPr>
      <w:rFonts w:eastAsia="仿宋_GB2312"/>
      <w:kern w:val="2"/>
      <w:sz w:val="28"/>
      <w:lang w:val="en-US" w:eastAsia="zh-CN" w:bidi="ar-SA"/>
    </w:rPr>
  </w:style>
  <w:style w:type="character" w:customStyle="1" w:styleId="54">
    <w:name w:val="纯文本 Char1"/>
    <w:link w:val="13"/>
    <w:qFormat/>
    <w:uiPriority w:val="0"/>
    <w:rPr>
      <w:rFonts w:ascii="宋体" w:hAnsi="Courier New" w:eastAsia="宋体" w:cs="Courier New"/>
      <w:kern w:val="2"/>
      <w:sz w:val="21"/>
      <w:szCs w:val="21"/>
      <w:lang w:val="en-US" w:eastAsia="zh-CN" w:bidi="ar-SA"/>
    </w:rPr>
  </w:style>
  <w:style w:type="character" w:customStyle="1" w:styleId="55">
    <w:name w:val="标题 1 Char"/>
    <w:link w:val="3"/>
    <w:qFormat/>
    <w:uiPriority w:val="0"/>
    <w:rPr>
      <w:rFonts w:eastAsia="仿宋_GB2312"/>
      <w:kern w:val="2"/>
      <w:sz w:val="28"/>
      <w:lang w:val="en-US" w:eastAsia="zh-CN" w:bidi="ar-SA"/>
    </w:rPr>
  </w:style>
  <w:style w:type="character" w:customStyle="1" w:styleId="56">
    <w:name w:val="正文缩进 Char"/>
    <w:link w:val="6"/>
    <w:qFormat/>
    <w:uiPriority w:val="0"/>
    <w:rPr>
      <w:rFonts w:eastAsia="仿宋_GB2312"/>
      <w:kern w:val="2"/>
      <w:sz w:val="28"/>
      <w:lang w:val="en-US" w:eastAsia="zh-CN" w:bidi="ar-SA"/>
    </w:rPr>
  </w:style>
  <w:style w:type="character" w:customStyle="1" w:styleId="57">
    <w:name w:val="正文（首行缩进两字） Char Char Char Char Char Char Char Char"/>
    <w:qFormat/>
    <w:uiPriority w:val="0"/>
    <w:rPr>
      <w:rFonts w:eastAsia="宋体"/>
      <w:kern w:val="2"/>
      <w:sz w:val="21"/>
      <w:szCs w:val="24"/>
      <w:lang w:val="en-US" w:eastAsia="zh-CN" w:bidi="ar-SA"/>
    </w:rPr>
  </w:style>
  <w:style w:type="character" w:customStyle="1" w:styleId="58">
    <w:name w:val="正文1-1 Char Char"/>
    <w:link w:val="59"/>
    <w:qFormat/>
    <w:uiPriority w:val="0"/>
    <w:rPr>
      <w:rFonts w:ascii="宋体" w:hAnsi="宋体" w:eastAsia="仿宋_GB2312" w:cs="宋体"/>
      <w:sz w:val="28"/>
      <w:szCs w:val="24"/>
      <w:lang w:val="en-US" w:eastAsia="zh-CN" w:bidi="ar-SA"/>
    </w:rPr>
  </w:style>
  <w:style w:type="paragraph" w:customStyle="1" w:styleId="59">
    <w:name w:val="正文1-1"/>
    <w:basedOn w:val="1"/>
    <w:link w:val="58"/>
    <w:qFormat/>
    <w:uiPriority w:val="0"/>
    <w:pPr>
      <w:snapToGrid w:val="0"/>
      <w:ind w:firstLine="200" w:firstLineChars="200"/>
    </w:pPr>
    <w:rPr>
      <w:rFonts w:ascii="宋体" w:hAnsi="宋体" w:cs="宋体"/>
      <w:kern w:val="0"/>
      <w:szCs w:val="24"/>
    </w:rPr>
  </w:style>
  <w:style w:type="character" w:customStyle="1" w:styleId="60">
    <w:name w:val="标题 2 Char"/>
    <w:link w:val="4"/>
    <w:semiHidden/>
    <w:qFormat/>
    <w:uiPriority w:val="0"/>
    <w:rPr>
      <w:rFonts w:ascii="Cambria" w:hAnsi="Cambria" w:eastAsia="宋体" w:cs="Times New Roman"/>
      <w:b/>
      <w:bCs/>
      <w:kern w:val="2"/>
      <w:sz w:val="32"/>
      <w:szCs w:val="32"/>
    </w:rPr>
  </w:style>
  <w:style w:type="paragraph" w:customStyle="1" w:styleId="61">
    <w:name w:val="正文1"/>
    <w:basedOn w:val="1"/>
    <w:qFormat/>
    <w:uiPriority w:val="0"/>
    <w:pPr>
      <w:adjustRightInd w:val="0"/>
      <w:snapToGrid w:val="0"/>
      <w:spacing w:line="480" w:lineRule="exact"/>
      <w:ind w:firstLine="200" w:firstLineChars="200"/>
    </w:pPr>
    <w:rPr>
      <w:sz w:val="24"/>
    </w:rPr>
  </w:style>
  <w:style w:type="paragraph" w:customStyle="1" w:styleId="62">
    <w:name w:val="Char3"/>
    <w:basedOn w:val="1"/>
    <w:qFormat/>
    <w:uiPriority w:val="0"/>
    <w:pPr>
      <w:spacing w:line="240" w:lineRule="exact"/>
      <w:ind w:firstLine="200" w:firstLineChars="200"/>
    </w:pPr>
    <w:rPr>
      <w:rFonts w:eastAsia="宋体"/>
      <w:sz w:val="21"/>
      <w:szCs w:val="24"/>
    </w:rPr>
  </w:style>
  <w:style w:type="paragraph" w:customStyle="1" w:styleId="63">
    <w:name w:val="Char Char1 Char Char Char Char Char Char Char Char Char Char Char Char Char Char Char Char Char Char Char Char1 Char"/>
    <w:basedOn w:val="1"/>
    <w:qFormat/>
    <w:uiPriority w:val="0"/>
    <w:pPr>
      <w:ind w:firstLine="200" w:firstLineChars="200"/>
    </w:pPr>
    <w:rPr>
      <w:rFonts w:ascii="宋体" w:hAnsi="宋体" w:eastAsia="宋体" w:cs="宋体"/>
      <w:sz w:val="24"/>
      <w:szCs w:val="24"/>
    </w:rPr>
  </w:style>
  <w:style w:type="paragraph" w:customStyle="1" w:styleId="64">
    <w:name w:val="小四表文左齐"/>
    <w:basedOn w:val="1"/>
    <w:qFormat/>
    <w:uiPriority w:val="0"/>
    <w:pPr>
      <w:adjustRightInd w:val="0"/>
      <w:snapToGrid w:val="0"/>
      <w:jc w:val="center"/>
    </w:pPr>
    <w:rPr>
      <w:rFonts w:ascii="宋体" w:hAnsi="宋体" w:eastAsia="宋体"/>
      <w:sz w:val="21"/>
      <w:szCs w:val="24"/>
    </w:rPr>
  </w:style>
  <w:style w:type="paragraph" w:customStyle="1" w:styleId="65">
    <w:name w:val="Char4 Char Char Char"/>
    <w:basedOn w:val="1"/>
    <w:qFormat/>
    <w:uiPriority w:val="0"/>
    <w:rPr>
      <w:rFonts w:eastAsia="宋体"/>
      <w:sz w:val="21"/>
    </w:rPr>
  </w:style>
  <w:style w:type="paragraph" w:customStyle="1" w:styleId="66">
    <w:name w:val="正文首行缩进 2 + Times New Roman"/>
    <w:basedOn w:val="1"/>
    <w:qFormat/>
    <w:uiPriority w:val="0"/>
    <w:pPr>
      <w:tabs>
        <w:tab w:val="left" w:pos="0"/>
        <w:tab w:val="left" w:pos="870"/>
      </w:tabs>
      <w:autoSpaceDE w:val="0"/>
      <w:autoSpaceDN w:val="0"/>
      <w:ind w:firstLine="480" w:firstLineChars="200"/>
    </w:pPr>
    <w:rPr>
      <w:rFonts w:hAnsi="宋体" w:eastAsia="宋体"/>
      <w:kern w:val="0"/>
      <w:sz w:val="24"/>
      <w:szCs w:val="24"/>
    </w:rPr>
  </w:style>
  <w:style w:type="paragraph" w:customStyle="1" w:styleId="67">
    <w:name w:val="正文01"/>
    <w:basedOn w:val="6"/>
    <w:qFormat/>
    <w:uiPriority w:val="0"/>
    <w:pPr>
      <w:ind w:firstLine="480"/>
    </w:pPr>
    <w:rPr>
      <w:rFonts w:eastAsia="宋体"/>
      <w:sz w:val="24"/>
    </w:rPr>
  </w:style>
  <w:style w:type="paragraph" w:customStyle="1" w:styleId="68">
    <w:name w:val="表格标题"/>
    <w:basedOn w:val="1"/>
    <w:qFormat/>
    <w:uiPriority w:val="0"/>
    <w:pPr>
      <w:adjustRightInd w:val="0"/>
      <w:spacing w:before="120"/>
      <w:jc w:val="center"/>
      <w:textAlignment w:val="baseline"/>
    </w:pPr>
    <w:rPr>
      <w:rFonts w:eastAsia="文鼎CS中宋"/>
      <w:kern w:val="0"/>
      <w:sz w:val="24"/>
    </w:rPr>
  </w:style>
  <w:style w:type="paragraph" w:customStyle="1" w:styleId="69">
    <w:name w:val="纯文本1"/>
    <w:basedOn w:val="1"/>
    <w:qFormat/>
    <w:uiPriority w:val="0"/>
    <w:rPr>
      <w:rFonts w:ascii="宋体" w:hAnsi="Courier New" w:eastAsia="宋体" w:cs="Courier New"/>
      <w:sz w:val="21"/>
      <w:szCs w:val="21"/>
    </w:rPr>
  </w:style>
  <w:style w:type="paragraph" w:customStyle="1" w:styleId="70">
    <w:name w:val="表"/>
    <w:basedOn w:val="1"/>
    <w:qFormat/>
    <w:uiPriority w:val="0"/>
    <w:pPr>
      <w:snapToGrid w:val="0"/>
      <w:jc w:val="center"/>
    </w:pPr>
    <w:rPr>
      <w:rFonts w:eastAsia="宋体"/>
      <w:spacing w:val="2"/>
      <w:sz w:val="21"/>
    </w:rPr>
  </w:style>
  <w:style w:type="paragraph" w:customStyle="1" w:styleId="71">
    <w:name w:val="Char Char Char Char"/>
    <w:basedOn w:val="1"/>
    <w:qFormat/>
    <w:uiPriority w:val="0"/>
    <w:rPr>
      <w:rFonts w:eastAsia="宋体"/>
      <w:sz w:val="24"/>
      <w:szCs w:val="24"/>
    </w:rPr>
  </w:style>
  <w:style w:type="paragraph" w:customStyle="1" w:styleId="72">
    <w:name w:val="表格文字"/>
    <w:basedOn w:val="1"/>
    <w:qFormat/>
    <w:uiPriority w:val="0"/>
    <w:pPr>
      <w:jc w:val="center"/>
    </w:pPr>
    <w:rPr>
      <w:rFonts w:ascii="仿宋_GB2312" w:hAnsi="Arial Black"/>
      <w:kern w:val="44"/>
      <w:sz w:val="24"/>
    </w:rPr>
  </w:style>
  <w:style w:type="paragraph" w:customStyle="1" w:styleId="73">
    <w:name w:val="xl42"/>
    <w:basedOn w:val="1"/>
    <w:qFormat/>
    <w:uiPriority w:val="0"/>
    <w:pPr>
      <w:pBdr>
        <w:bottom w:val="dotted" w:color="auto" w:sz="4" w:space="0"/>
        <w:right w:val="dotted" w:color="auto" w:sz="4" w:space="0"/>
      </w:pBdr>
      <w:spacing w:before="100" w:beforeAutospacing="1" w:after="100" w:afterAutospacing="1"/>
      <w:jc w:val="center"/>
    </w:pPr>
    <w:rPr>
      <w:rFonts w:eastAsia="宋体"/>
      <w:kern w:val="0"/>
      <w:sz w:val="21"/>
      <w:szCs w:val="21"/>
    </w:rPr>
  </w:style>
  <w:style w:type="paragraph" w:customStyle="1" w:styleId="74">
    <w:name w:val="表文"/>
    <w:basedOn w:val="10"/>
    <w:next w:val="6"/>
    <w:qFormat/>
    <w:uiPriority w:val="0"/>
    <w:pPr>
      <w:jc w:val="center"/>
    </w:pPr>
    <w:rPr>
      <w:rFonts w:ascii="仿宋_GB2312"/>
      <w:szCs w:val="21"/>
    </w:rPr>
  </w:style>
  <w:style w:type="paragraph" w:customStyle="1" w:styleId="75">
    <w:name w:val="正文2"/>
    <w:basedOn w:val="1"/>
    <w:qFormat/>
    <w:uiPriority w:val="0"/>
    <w:pPr>
      <w:adjustRightInd w:val="0"/>
      <w:snapToGrid w:val="0"/>
      <w:spacing w:line="440" w:lineRule="atLeast"/>
      <w:ind w:firstLine="567"/>
    </w:pPr>
    <w:rPr>
      <w:rFonts w:eastAsia="宋体"/>
      <w:sz w:val="24"/>
    </w:rPr>
  </w:style>
  <w:style w:type="paragraph" w:customStyle="1" w:styleId="76">
    <w:name w:val="样式 黑体 小四 加粗 黑色 居中 行距: 固定值 26 磅"/>
    <w:basedOn w:val="1"/>
    <w:next w:val="13"/>
    <w:qFormat/>
    <w:uiPriority w:val="0"/>
    <w:pPr>
      <w:spacing w:line="520" w:lineRule="exact"/>
      <w:jc w:val="center"/>
    </w:pPr>
    <w:rPr>
      <w:rFonts w:ascii="楷体_GB2312" w:hAnsi="黑体" w:eastAsia="楷体_GB2312"/>
      <w:bCs/>
      <w:color w:val="000000"/>
      <w:szCs w:val="28"/>
    </w:rPr>
  </w:style>
  <w:style w:type="paragraph" w:customStyle="1" w:styleId="77">
    <w:name w:val="xl2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kern w:val="0"/>
      <w:sz w:val="24"/>
      <w:szCs w:val="24"/>
    </w:rPr>
  </w:style>
  <w:style w:type="paragraph" w:customStyle="1" w:styleId="78">
    <w:name w:val="Char Char Char Char Char Char Char"/>
    <w:basedOn w:val="1"/>
    <w:qFormat/>
    <w:uiPriority w:val="0"/>
    <w:pPr>
      <w:spacing w:after="160" w:line="240" w:lineRule="exact"/>
    </w:pPr>
    <w:rPr>
      <w:rFonts w:ascii="Verdana" w:hAnsi="Verdana" w:eastAsia="宋体"/>
      <w:kern w:val="0"/>
      <w:sz w:val="20"/>
      <w:lang w:eastAsia="en-US"/>
    </w:rPr>
  </w:style>
  <w:style w:type="paragraph" w:customStyle="1" w:styleId="79">
    <w:name w:val="xl27"/>
    <w:basedOn w:val="1"/>
    <w:qFormat/>
    <w:uiPriority w:val="0"/>
    <w:pPr>
      <w:pBdr>
        <w:bottom w:val="single" w:color="auto" w:sz="12" w:space="0"/>
      </w:pBdr>
      <w:spacing w:before="100" w:after="100"/>
      <w:jc w:val="center"/>
    </w:pPr>
    <w:rPr>
      <w:rFonts w:ascii="宋体" w:hAnsi="宋体" w:eastAsia="宋体"/>
      <w:kern w:val="0"/>
      <w:sz w:val="21"/>
    </w:rPr>
  </w:style>
  <w:style w:type="paragraph" w:customStyle="1" w:styleId="80">
    <w:name w:val="三级条标题"/>
    <w:basedOn w:val="1"/>
    <w:next w:val="1"/>
    <w:qFormat/>
    <w:uiPriority w:val="0"/>
    <w:pPr>
      <w:tabs>
        <w:tab w:val="left" w:pos="2520"/>
      </w:tabs>
      <w:outlineLvl w:val="4"/>
    </w:pPr>
    <w:rPr>
      <w:rFonts w:ascii="黑体" w:eastAsia="黑体"/>
      <w:kern w:val="0"/>
      <w:sz w:val="21"/>
    </w:rPr>
  </w:style>
  <w:style w:type="paragraph" w:customStyle="1" w:styleId="81">
    <w:name w:val="Char Char Char Char Char Char Char1"/>
    <w:basedOn w:val="1"/>
    <w:qFormat/>
    <w:uiPriority w:val="0"/>
    <w:pPr>
      <w:spacing w:after="160" w:line="240" w:lineRule="exact"/>
    </w:pPr>
    <w:rPr>
      <w:rFonts w:eastAsia="宋体"/>
      <w:sz w:val="21"/>
    </w:rPr>
  </w:style>
  <w:style w:type="paragraph" w:customStyle="1" w:styleId="82">
    <w:name w:val="p0"/>
    <w:basedOn w:val="1"/>
    <w:qFormat/>
    <w:uiPriority w:val="0"/>
    <w:rPr>
      <w:rFonts w:eastAsia="宋体"/>
      <w:kern w:val="0"/>
      <w:szCs w:val="28"/>
    </w:rPr>
  </w:style>
  <w:style w:type="paragraph" w:customStyle="1" w:styleId="83">
    <w:name w:val="br"/>
    <w:basedOn w:val="1"/>
    <w:qFormat/>
    <w:uiPriority w:val="0"/>
    <w:pPr>
      <w:spacing w:before="100" w:beforeAutospacing="1" w:after="100" w:afterAutospacing="1"/>
    </w:pPr>
    <w:rPr>
      <w:rFonts w:ascii="Verdana" w:hAnsi="Verdana" w:eastAsia="宋体"/>
      <w:color w:val="333333"/>
      <w:kern w:val="0"/>
      <w:sz w:val="21"/>
      <w:szCs w:val="21"/>
    </w:rPr>
  </w:style>
  <w:style w:type="paragraph" w:customStyle="1" w:styleId="84">
    <w:name w:val="Char"/>
    <w:basedOn w:val="1"/>
    <w:qFormat/>
    <w:uiPriority w:val="0"/>
    <w:rPr>
      <w:rFonts w:eastAsia="宋体"/>
      <w:sz w:val="21"/>
      <w:szCs w:val="21"/>
    </w:rPr>
  </w:style>
  <w:style w:type="paragraph" w:customStyle="1" w:styleId="85">
    <w:name w:val="新表"/>
    <w:basedOn w:val="1"/>
    <w:qFormat/>
    <w:uiPriority w:val="0"/>
    <w:pPr>
      <w:spacing w:line="360" w:lineRule="exact"/>
    </w:pPr>
    <w:rPr>
      <w:bCs/>
      <w:kern w:val="0"/>
      <w:sz w:val="24"/>
    </w:rPr>
  </w:style>
  <w:style w:type="paragraph" w:customStyle="1" w:styleId="86">
    <w:name w:val="_Style 67"/>
    <w:basedOn w:val="1"/>
    <w:qFormat/>
    <w:uiPriority w:val="0"/>
    <w:pPr>
      <w:spacing w:line="240" w:lineRule="exact"/>
      <w:ind w:firstLine="200" w:firstLineChars="200"/>
    </w:pPr>
    <w:rPr>
      <w:rFonts w:eastAsia="宋体"/>
    </w:rPr>
  </w:style>
  <w:style w:type="paragraph" w:customStyle="1" w:styleId="87">
    <w:name w:val="Char Char Char1"/>
    <w:basedOn w:val="1"/>
    <w:qFormat/>
    <w:uiPriority w:val="0"/>
    <w:rPr>
      <w:rFonts w:eastAsia="宋体"/>
      <w:sz w:val="24"/>
      <w:szCs w:val="24"/>
    </w:rPr>
  </w:style>
  <w:style w:type="paragraph" w:customStyle="1" w:styleId="88">
    <w:name w:val="Char Char Char"/>
    <w:basedOn w:val="1"/>
    <w:qFormat/>
    <w:uiPriority w:val="0"/>
    <w:rPr>
      <w:rFonts w:eastAsia="宋体"/>
      <w:sz w:val="24"/>
      <w:szCs w:val="24"/>
    </w:rPr>
  </w:style>
  <w:style w:type="paragraph" w:customStyle="1" w:styleId="89">
    <w:name w:val="xl3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90">
    <w:name w:val="Char Char Char Char Char Char"/>
    <w:basedOn w:val="1"/>
    <w:qFormat/>
    <w:uiPriority w:val="0"/>
    <w:rPr>
      <w:rFonts w:eastAsia="宋体"/>
      <w:sz w:val="24"/>
      <w:szCs w:val="24"/>
    </w:rPr>
  </w:style>
  <w:style w:type="paragraph" w:customStyle="1" w:styleId="91">
    <w:name w:val="CM16"/>
    <w:basedOn w:val="27"/>
    <w:next w:val="27"/>
    <w:qFormat/>
    <w:uiPriority w:val="0"/>
    <w:pPr>
      <w:spacing w:line="626" w:lineRule="atLeast"/>
    </w:pPr>
    <w:rPr>
      <w:color w:val="auto"/>
      <w:sz w:val="20"/>
    </w:rPr>
  </w:style>
  <w:style w:type="paragraph" w:customStyle="1" w:styleId="92">
    <w:name w:val="Char Char1 Char Char Char Char Char Char Char Char Char Char Char Char Char Char Char Char Char Char Char Char1 Char1"/>
    <w:basedOn w:val="1"/>
    <w:qFormat/>
    <w:uiPriority w:val="0"/>
    <w:pPr>
      <w:ind w:firstLine="200" w:firstLineChars="200"/>
    </w:pPr>
    <w:rPr>
      <w:rFonts w:ascii="宋体" w:hAnsi="宋体" w:eastAsia="宋体" w:cs="宋体"/>
      <w:sz w:val="24"/>
      <w:szCs w:val="24"/>
    </w:rPr>
  </w:style>
  <w:style w:type="paragraph" w:customStyle="1" w:styleId="93">
    <w:name w:val="xl67"/>
    <w:basedOn w:val="1"/>
    <w:qFormat/>
    <w:uiPriority w:val="0"/>
    <w:pPr>
      <w:pBdr>
        <w:left w:val="single" w:color="auto" w:sz="4" w:space="0"/>
      </w:pBdr>
      <w:spacing w:before="100" w:beforeAutospacing="1" w:after="100" w:afterAutospacing="1"/>
      <w:jc w:val="center"/>
    </w:pPr>
    <w:rPr>
      <w:rFonts w:hint="eastAsia" w:ascii="仿宋_GB2312" w:hAnsi="宋体"/>
      <w:kern w:val="0"/>
      <w:sz w:val="24"/>
      <w:szCs w:val="24"/>
    </w:rPr>
  </w:style>
  <w:style w:type="paragraph" w:customStyle="1" w:styleId="94">
    <w:name w:val="Char Char Char2"/>
    <w:basedOn w:val="1"/>
    <w:qFormat/>
    <w:uiPriority w:val="0"/>
    <w:rPr>
      <w:rFonts w:eastAsia="宋体"/>
      <w:sz w:val="24"/>
      <w:szCs w:val="24"/>
    </w:rPr>
  </w:style>
  <w:style w:type="paragraph" w:customStyle="1" w:styleId="95">
    <w:name w:val="纯文本2"/>
    <w:basedOn w:val="1"/>
    <w:qFormat/>
    <w:uiPriority w:val="0"/>
    <w:rPr>
      <w:rFonts w:ascii="宋体" w:hAnsi="Courier New" w:eastAsia="宋体" w:cs="Courier New"/>
      <w:sz w:val="21"/>
      <w:szCs w:val="21"/>
    </w:rPr>
  </w:style>
  <w:style w:type="paragraph" w:customStyle="1" w:styleId="96">
    <w:name w:val="0"/>
    <w:basedOn w:val="1"/>
    <w:qFormat/>
    <w:uiPriority w:val="0"/>
    <w:pPr>
      <w:snapToGrid w:val="0"/>
    </w:pPr>
    <w:rPr>
      <w:rFonts w:eastAsia="宋体"/>
      <w:kern w:val="0"/>
      <w:sz w:val="21"/>
      <w:szCs w:val="21"/>
    </w:rPr>
  </w:style>
  <w:style w:type="paragraph" w:customStyle="1" w:styleId="97">
    <w:name w:val="默认段落字体 Para Char"/>
    <w:basedOn w:val="1"/>
    <w:qFormat/>
    <w:uiPriority w:val="0"/>
    <w:rPr>
      <w:rFonts w:eastAsia="宋体"/>
      <w:sz w:val="24"/>
      <w:szCs w:val="24"/>
    </w:rPr>
  </w:style>
  <w:style w:type="paragraph" w:customStyle="1" w:styleId="98">
    <w:name w:val="样式1"/>
    <w:basedOn w:val="1"/>
    <w:next w:val="12"/>
    <w:qFormat/>
    <w:uiPriority w:val="0"/>
    <w:pPr>
      <w:jc w:val="center"/>
    </w:pPr>
    <w:rPr>
      <w:rFonts w:ascii="宋体" w:hAnsi="宋体" w:eastAsia="宋体"/>
      <w:b/>
      <w:color w:val="000000"/>
      <w:sz w:val="24"/>
      <w:szCs w:val="24"/>
    </w:rPr>
  </w:style>
  <w:style w:type="paragraph" w:customStyle="1" w:styleId="99">
    <w:name w:val="Char Char Char Char Char Char Char Char Char1 Char Char Char Char Char Char Char"/>
    <w:basedOn w:val="1"/>
    <w:qFormat/>
    <w:uiPriority w:val="0"/>
    <w:rPr>
      <w:rFonts w:eastAsia="宋体"/>
      <w:sz w:val="21"/>
      <w:szCs w:val="21"/>
    </w:rPr>
  </w:style>
  <w:style w:type="paragraph" w:customStyle="1" w:styleId="100">
    <w:name w:val="居中正文"/>
    <w:basedOn w:val="25"/>
    <w:qFormat/>
    <w:uiPriority w:val="0"/>
    <w:pPr>
      <w:adjustRightInd w:val="0"/>
      <w:spacing w:before="120" w:after="0"/>
      <w:ind w:firstLine="0" w:firstLineChars="0"/>
      <w:jc w:val="center"/>
      <w:textAlignment w:val="baseline"/>
    </w:pPr>
    <w:rPr>
      <w:rFonts w:ascii="宋体" w:eastAsia="宋体"/>
      <w:kern w:val="28"/>
      <w:sz w:val="24"/>
    </w:rPr>
  </w:style>
  <w:style w:type="paragraph" w:customStyle="1" w:styleId="101">
    <w:name w:val="图文框"/>
    <w:basedOn w:val="1"/>
    <w:qFormat/>
    <w:uiPriority w:val="0"/>
    <w:pPr>
      <w:jc w:val="center"/>
    </w:pPr>
    <w:rPr>
      <w:rFonts w:eastAsia="宋体"/>
      <w:kern w:val="0"/>
      <w:sz w:val="21"/>
      <w:szCs w:val="21"/>
    </w:rPr>
  </w:style>
  <w:style w:type="table" w:customStyle="1" w:styleId="102">
    <w:name w:val="网格型1"/>
    <w:basedOn w:val="28"/>
    <w:qFormat/>
    <w:uiPriority w:val="39"/>
    <w:pPr>
      <w:widowControl w:val="0"/>
      <w:adjustRightInd w:val="0"/>
      <w:snapToGrid w:val="0"/>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时尚中黑简体"/>
        <w:b/>
        <w:sz w:val="21"/>
      </w:rPr>
      <w:tcPr>
        <w:tcBorders>
          <w:bottom w:val="nil"/>
        </w:tcBorders>
      </w:tcPr>
    </w:tblStylePr>
  </w:style>
  <w:style w:type="paragraph" w:customStyle="1" w:styleId="103">
    <w:name w:val="Char Char Char Char Char Char Char Char Char"/>
    <w:basedOn w:val="1"/>
    <w:qFormat/>
    <w:uiPriority w:val="0"/>
    <w:pPr>
      <w:widowControl w:val="0"/>
      <w:spacing w:line="240" w:lineRule="auto"/>
      <w:jc w:val="both"/>
    </w:pPr>
    <w:rPr>
      <w:rFonts w:ascii="Calibri" w:hAnsi="Calibri" w:eastAsia="宋体" w:cs="Calibri"/>
      <w:sz w:val="21"/>
    </w:rPr>
  </w:style>
  <w:style w:type="character" w:customStyle="1" w:styleId="104">
    <w:name w:val="批注框文本 Char"/>
    <w:link w:val="16"/>
    <w:qFormat/>
    <w:uiPriority w:val="99"/>
    <w:rPr>
      <w:rFonts w:eastAsia="仿宋_GB2312"/>
      <w:kern w:val="2"/>
      <w:sz w:val="18"/>
      <w:szCs w:val="18"/>
    </w:rPr>
  </w:style>
  <w:style w:type="character" w:customStyle="1" w:styleId="105">
    <w:name w:val="正文文本缩进 Char"/>
    <w:basedOn w:val="30"/>
    <w:link w:val="11"/>
    <w:qFormat/>
    <w:uiPriority w:val="0"/>
    <w:rPr>
      <w:rFonts w:ascii="仿宋_GB2312" w:eastAsia="仿宋_GB2312"/>
      <w:sz w:val="30"/>
    </w:rPr>
  </w:style>
  <w:style w:type="character" w:customStyle="1" w:styleId="106">
    <w:name w:val="正文首行缩进 2 Char"/>
    <w:basedOn w:val="105"/>
    <w:link w:val="26"/>
    <w:qFormat/>
    <w:uiPriority w:val="0"/>
    <w:rPr>
      <w:rFonts w:ascii="仿宋_GB2312" w:eastAsia="仿宋_GB2312"/>
      <w:kern w:val="2"/>
      <w:sz w:val="28"/>
    </w:rPr>
  </w:style>
  <w:style w:type="paragraph" w:customStyle="1" w:styleId="107">
    <w:name w:val="正文环科院"/>
    <w:basedOn w:val="1"/>
    <w:qFormat/>
    <w:uiPriority w:val="0"/>
    <w:pPr>
      <w:widowControl w:val="0"/>
      <w:snapToGrid w:val="0"/>
      <w:ind w:firstLine="200" w:firstLineChars="200"/>
      <w:jc w:val="both"/>
    </w:pPr>
    <w:rPr>
      <w:rFonts w:hAnsi="Calibri" w:cs="Calibri"/>
      <w:sz w:val="21"/>
    </w:rPr>
  </w:style>
  <w:style w:type="character" w:customStyle="1" w:styleId="108">
    <w:name w:val="表格内容 Char1"/>
    <w:qFormat/>
    <w:uiPriority w:val="0"/>
    <w:rPr>
      <w:rFonts w:ascii="宋体" w:hAnsi="宋体" w:eastAsia="宋体"/>
      <w:color w:val="000000"/>
      <w:kern w:val="2"/>
      <w:sz w:val="21"/>
      <w:szCs w:val="18"/>
      <w:lang w:val="en-US" w:eastAsia="zh-CN" w:bidi="ar-SA"/>
    </w:rPr>
  </w:style>
  <w:style w:type="paragraph" w:customStyle="1" w:styleId="109">
    <w:name w:val="Table Paragraph"/>
    <w:basedOn w:val="1"/>
    <w:qFormat/>
    <w:uiPriority w:val="1"/>
    <w:pPr>
      <w:widowControl w:val="0"/>
      <w:spacing w:line="240" w:lineRule="auto"/>
      <w:jc w:val="center"/>
    </w:pPr>
    <w:rPr>
      <w:rFonts w:ascii="宋体" w:hAnsi="宋体" w:eastAsia="宋体" w:cs="宋体"/>
      <w:kern w:val="0"/>
      <w:sz w:val="22"/>
      <w:szCs w:val="22"/>
      <w:lang w:eastAsia="en-US"/>
    </w:rPr>
  </w:style>
  <w:style w:type="table" w:customStyle="1" w:styleId="110">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63"/>
    <customShpInfo spid="_x0000_s1062"/>
    <customShpInfo spid="_x0000_s106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42A205-95E9-4239-8B24-B539C48A188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45608</Words>
  <Characters>11638</Characters>
  <Lines>96</Lines>
  <Paragraphs>114</Paragraphs>
  <TotalTime>20</TotalTime>
  <ScaleCrop>false</ScaleCrop>
  <LinksUpToDate>false</LinksUpToDate>
  <CharactersWithSpaces>57132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2020-04-30T02:58:00Z</dcterms:created>
  <dc:creator>a</dc:creator>
  <cp:lastModifiedBy>苒苒</cp:lastModifiedBy>
  <cp:lastPrinted>2019-02-26T05:37:00Z</cp:lastPrinted>
  <dcterms:modified xsi:type="dcterms:W3CDTF">2020-05-18T05:20:29Z</dcterms:modified>
  <dc:title>mk</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